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Правительства РФ от 27.05.2023 N 835</w:t>
              <w:br/>
              <w:t xml:space="preserve">(ред. от 01.07.2024)</w:t>
              <w:br/>
              <w:t xml:space="preserve">"Об утверждении единого стандарта предоставления компенсации расходов на оплату жилого помещения и коммунальных услуг отдельным категориям граждан"</w:t>
              <w:br/>
              <w:t xml:space="preserve">(с изм. и доп., вступ. в силу с 01.11.2024)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20.12.2024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ПРАВИТЕЛЬСТВО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27 мая 2023 г. N 835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ЕДИНОГО СТАНДАРТА</w:t>
      </w:r>
    </w:p>
    <w:p>
      <w:pPr>
        <w:pStyle w:val="2"/>
        <w:jc w:val="center"/>
      </w:pPr>
      <w:r>
        <w:rPr>
          <w:sz w:val="20"/>
        </w:rPr>
        <w:t xml:space="preserve">ПРЕДОСТАВЛЕНИЯ КОМПЕНСАЦИИ РАСХОДОВ НА ОПЛАТУ ЖИЛОГО</w:t>
      </w:r>
    </w:p>
    <w:p>
      <w:pPr>
        <w:pStyle w:val="2"/>
        <w:jc w:val="center"/>
      </w:pPr>
      <w:r>
        <w:rPr>
          <w:sz w:val="20"/>
        </w:rPr>
        <w:t xml:space="preserve">ПОМЕЩЕНИЯ И КОММУНАЛЬНЫХ УСЛУГ ОТДЕЛЬНЫМ КАТЕГОРИЯМ ГРАЖДАН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7" w:tooltip="Постановление Правительства РФ от 01.07.2024 N 901 &quot;О внесении изменений в постановление Правительства Российской Федерации от 27 мая 2023 г. N 835&quot; {КонсультантПлюс}">
              <w:r>
                <w:rPr>
                  <w:sz w:val="20"/>
                  <w:color w:val="0000ff"/>
                </w:rPr>
                <w:t xml:space="preserve">Постановления</w:t>
              </w:r>
            </w:hyperlink>
            <w:r>
              <w:rPr>
                <w:sz w:val="20"/>
                <w:color w:val="392c69"/>
              </w:rPr>
              <w:t xml:space="preserve"> Правительства РФ от 01.07.2024 N 901)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8" w:tooltip="&quot;Жилищный кодекс Российской Федерации&quot; от 29.12.2004 N 188-ФЗ (ред. от 08.08.2024) (с изм. и доп., вступ. в силу с 01.09.2024) {КонсультантПлюс}">
        <w:r>
          <w:rPr>
            <w:sz w:val="20"/>
            <w:color w:val="0000ff"/>
          </w:rPr>
          <w:t xml:space="preserve">частью 1.1 статьи 160</w:t>
        </w:r>
      </w:hyperlink>
      <w:r>
        <w:rPr>
          <w:sz w:val="20"/>
        </w:rPr>
        <w:t xml:space="preserve"> Жилищного кодекса Российской Федерации Правительство Российской Федерации постановляет: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прилагаемый единый </w:t>
      </w:r>
      <w:hyperlink w:history="0" w:anchor="P29" w:tooltip="ЕДИНЫЙ СТАНДАРТ">
        <w:r>
          <w:rPr>
            <w:sz w:val="20"/>
            <w:color w:val="0000ff"/>
          </w:rPr>
          <w:t xml:space="preserve">стандарт</w:t>
        </w:r>
      </w:hyperlink>
      <w:r>
        <w:rPr>
          <w:sz w:val="20"/>
        </w:rPr>
        <w:t xml:space="preserve"> предоставления компенсации расходов на оплату жилого помещения и коммунальных услуг отдельным категориям граждан.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Настоящее постановление вступает в силу с 1 июля 2023 г.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Председатель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М.МИШУСТИН</w:t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</w:t>
      </w:r>
    </w:p>
    <w:p>
      <w:pPr>
        <w:pStyle w:val="0"/>
        <w:jc w:val="right"/>
      </w:pPr>
      <w:r>
        <w:rPr>
          <w:sz w:val="20"/>
        </w:rPr>
        <w:t xml:space="preserve">постановлением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27 мая 2023 г. N 835</w:t>
      </w:r>
    </w:p>
    <w:p>
      <w:pPr>
        <w:pStyle w:val="0"/>
        <w:jc w:val="right"/>
      </w:pPr>
      <w:r>
        <w:rPr>
          <w:sz w:val="20"/>
        </w:rPr>
      </w:r>
    </w:p>
    <w:bookmarkStart w:id="29" w:name="P29"/>
    <w:bookmarkEnd w:id="29"/>
    <w:p>
      <w:pPr>
        <w:pStyle w:val="2"/>
        <w:jc w:val="center"/>
      </w:pPr>
      <w:r>
        <w:rPr>
          <w:sz w:val="20"/>
        </w:rPr>
        <w:t xml:space="preserve">ЕДИНЫЙ СТАНДАРТ</w:t>
      </w:r>
    </w:p>
    <w:p>
      <w:pPr>
        <w:pStyle w:val="2"/>
        <w:jc w:val="center"/>
      </w:pPr>
      <w:r>
        <w:rPr>
          <w:sz w:val="20"/>
        </w:rPr>
        <w:t xml:space="preserve">ПРЕДОСТАВЛЕНИЯ КОМПЕНСАЦИИ РАСХОДОВ НА ОПЛАТУ ЖИЛОГО</w:t>
      </w:r>
    </w:p>
    <w:p>
      <w:pPr>
        <w:pStyle w:val="2"/>
        <w:jc w:val="center"/>
      </w:pPr>
      <w:r>
        <w:rPr>
          <w:sz w:val="20"/>
        </w:rPr>
        <w:t xml:space="preserve">ПОМЕЩЕНИЯ И КОММУНАЛЬНЫХ УСЛУГ ОТДЕЛЬНЫМ КАТЕГОРИЯМ ГРАЖДАН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9" w:tooltip="Постановление Правительства РФ от 01.07.2024 N 901 &quot;О внесении изменений в постановление Правительства Российской Федерации от 27 мая 2023 г. N 835&quot; {КонсультантПлюс}">
              <w:r>
                <w:rPr>
                  <w:sz w:val="20"/>
                  <w:color w:val="0000ff"/>
                </w:rPr>
                <w:t xml:space="preserve">Постановления</w:t>
              </w:r>
            </w:hyperlink>
            <w:r>
              <w:rPr>
                <w:sz w:val="20"/>
                <w:color w:val="392c69"/>
              </w:rPr>
              <w:t xml:space="preserve"> Правительства РФ от 01.07.2024 N 901)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Единый стандарт предоставления компенсации расходов на оплату жилого помещения и коммунальных услуг отдельным категориям граждан (далее - единый стандарт) определяет основные требования к предоставлению компенсации расходов на оплату жилого помещения и коммунальных услуг отдельным категориям граждан (далее - услуга).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Единый стандарт подлежит соблюдению исполнительными органами субъектов Российской Федерации, органами местного самоуправления, подведомственными им организациями и иными организациями при предоставлении услуги (далее - органы, предоставляющие услугу).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Наименование услуги - предоставление компенсации расходов на оплату жилого помещения и коммунальных услуг отдельным категориям граждан (далее - компенсация).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Правовыми основаниями предоставления услуги являются федеральные законы, законы субъектов Российской Федерации и нормативные правовые акты органов местного самоуправления, которыми установлены условия и порядок предоставления компенсации за счет средств соответствующих бюджетов.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Субъекты Российской Федерации и органы местного самоуправления, обеспечивающие предоставление компенсации исключительно за счет средств соответствующего бюджета, вправе самостоятельно устанавливать особенности предоставления услуги с учетом положений единого стандарта.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Заявителями на предоставление компенсации являются граждане, относящиеся к отдельным категориям, установленным федеральными законами, законами субъектов Российской Федерации и нормативными правовыми актами органов местного самоуправления (далее - заявители).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Предоставление услуги осуществляется бесплатно.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Заявление о компенсации по рекомендуемой форме согласно </w:t>
      </w:r>
      <w:hyperlink w:history="0" w:anchor="P105" w:tooltip="ЗАЯВЛЕНИЕ">
        <w:r>
          <w:rPr>
            <w:sz w:val="20"/>
            <w:color w:val="0000ff"/>
          </w:rPr>
          <w:t xml:space="preserve">приложению N 1</w:t>
        </w:r>
      </w:hyperlink>
      <w:r>
        <w:rPr>
          <w:sz w:val="20"/>
        </w:rPr>
        <w:t xml:space="preserve"> с прилагаемыми документами (сведениями), необходимыми для назначения компенсации, в соответствии с перечнем документов (сведений), необходимых для назначения компенсации, согласно </w:t>
      </w:r>
      <w:hyperlink w:history="0" w:anchor="P318" w:tooltip="ПЕРЕЧЕНЬ">
        <w:r>
          <w:rPr>
            <w:sz w:val="20"/>
            <w:color w:val="0000ff"/>
          </w:rPr>
          <w:t xml:space="preserve">приложению N 2</w:t>
        </w:r>
      </w:hyperlink>
      <w:r>
        <w:rPr>
          <w:sz w:val="20"/>
        </w:rPr>
        <w:t xml:space="preserve"> (далее соответственно - документы (сведения), перечень) может подаваться в орган, предоставляющий услугу, по месту жительства (пребывания):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электронном виде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портал), а также регионального портала государственных и муниципальных услуг в случае, если это предусмотрено нормативными правовыми актами субъектов Российской Федерации (далее - региональный портал);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через многофункциональный центр предоставления государственных и муниципальных услуг (далее - многофункциональный центр) при наличии заключенного соглашения о взаимодействии между органом, предоставляющим услугу, и многофункциональным центром, уполномоченным на заключение указанного соглашения на основании Федерального </w:t>
      </w:r>
      <w:hyperlink w:history="0" r:id="rId10" w:tooltip="Федеральный закон от 27.07.2010 N 210-ФЗ (ред. от 08.07.2024) &quot;Об организации предоставления государственных и муниципальных услуг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"Об организации предоставления государственных и муниципальных услуг" (далее - соглашение);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лично в орган, предоставляющий услугу.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Документы (сведения) в соответствии с </w:t>
      </w:r>
      <w:hyperlink w:history="0" w:anchor="P318" w:tooltip="ПЕРЕЧЕНЬ">
        <w:r>
          <w:rPr>
            <w:sz w:val="20"/>
            <w:color w:val="0000ff"/>
          </w:rPr>
          <w:t xml:space="preserve">перечнем</w:t>
        </w:r>
      </w:hyperlink>
      <w:r>
        <w:rPr>
          <w:sz w:val="20"/>
        </w:rPr>
        <w:t xml:space="preserve"> запрашиваются органом, предоставляющим услугу, в рамках межведомственного информационного взаимодействия в электронной форме в органах и (или) организациях, в распоряжении которых они находятся, и (или) представляются заявителем в соответствии с </w:t>
      </w:r>
      <w:hyperlink w:history="0" w:anchor="P318" w:tooltip="ПЕРЕЧЕНЬ">
        <w:r>
          <w:rPr>
            <w:sz w:val="20"/>
            <w:color w:val="0000ff"/>
          </w:rPr>
          <w:t xml:space="preserve">перечнем</w:t>
        </w:r>
      </w:hyperlink>
      <w:r>
        <w:rPr>
          <w:sz w:val="20"/>
        </w:rPr>
        <w:t xml:space="preserve"> (в зависимости от сложившейся конкретной жизненной ситуации). Срок подготовки и направления ответа на межведомственный электронный запрос не может превышать 48 часов со дня поступления межведомственного электронного запроса в орган и (или) организацию, за исключением ответа на межведомственный электронный запрос в отношении сведений, предусмотренных </w:t>
      </w:r>
      <w:hyperlink w:history="0" w:anchor="P375" w:tooltip="15.">
        <w:r>
          <w:rPr>
            <w:sz w:val="20"/>
            <w:color w:val="0000ff"/>
          </w:rPr>
          <w:t xml:space="preserve">пунктом 15</w:t>
        </w:r>
      </w:hyperlink>
      <w:r>
        <w:rPr>
          <w:sz w:val="20"/>
        </w:rPr>
        <w:t xml:space="preserve"> приложения N 2 к настоящему документу, срок подготовки и направления которого устанавливается Министерством строительства и жилищно-коммунального хозяйства Российской Федерации в соответствии с </w:t>
      </w:r>
      <w:hyperlink w:history="0" r:id="rId11" w:tooltip="Федеральный закон от 21.07.2014 N 209-ФЗ (ред. от 13.12.2024) &quot;О государственной информационной системе жилищно-коммунального хозяйства&quot; {КонсультантПлюс}">
        <w:r>
          <w:rPr>
            <w:sz w:val="20"/>
            <w:color w:val="0000ff"/>
          </w:rPr>
          <w:t xml:space="preserve">пунктами 2</w:t>
        </w:r>
      </w:hyperlink>
      <w:r>
        <w:rPr>
          <w:sz w:val="20"/>
        </w:rPr>
        <w:t xml:space="preserve"> и </w:t>
      </w:r>
      <w:hyperlink w:history="0" r:id="rId12" w:tooltip="Федеральный закон от 21.07.2014 N 209-ФЗ (ред. от 13.12.2024) &quot;О государственной информационной системе жилищно-коммунального хозяйства&quot; {КонсультантПлюс}">
        <w:r>
          <w:rPr>
            <w:sz w:val="20"/>
            <w:color w:val="0000ff"/>
          </w:rPr>
          <w:t xml:space="preserve">4 части 3 статьи 7</w:t>
        </w:r>
      </w:hyperlink>
      <w:r>
        <w:rPr>
          <w:sz w:val="20"/>
        </w:rPr>
        <w:t xml:space="preserve"> Федерального закона "О государственной информационной системе жилищно-коммунального хозяйства".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3" w:tooltip="Постановление Правительства РФ от 01.07.2024 N 901 &quot;О внесении изменений в постановление Правительства Российской Федерации от 27 мая 2023 г. N 835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РФ от 01.07.2024 N 901)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Документы (сведения) в соответствии с </w:t>
      </w:r>
      <w:hyperlink w:history="0" w:anchor="P329" w:tooltip="2.">
        <w:r>
          <w:rPr>
            <w:sz w:val="20"/>
            <w:color w:val="0000ff"/>
          </w:rPr>
          <w:t xml:space="preserve">пунктами 2</w:t>
        </w:r>
      </w:hyperlink>
      <w:r>
        <w:rPr>
          <w:sz w:val="20"/>
        </w:rPr>
        <w:t xml:space="preserve">, </w:t>
      </w:r>
      <w:hyperlink w:history="0" w:anchor="P336" w:tooltip="4.">
        <w:r>
          <w:rPr>
            <w:sz w:val="20"/>
            <w:color w:val="0000ff"/>
          </w:rPr>
          <w:t xml:space="preserve">4</w:t>
        </w:r>
      </w:hyperlink>
      <w:r>
        <w:rPr>
          <w:sz w:val="20"/>
        </w:rPr>
        <w:t xml:space="preserve"> и </w:t>
      </w:r>
      <w:hyperlink w:history="0" w:anchor="P346" w:tooltip="7.">
        <w:r>
          <w:rPr>
            <w:sz w:val="20"/>
            <w:color w:val="0000ff"/>
          </w:rPr>
          <w:t xml:space="preserve">7</w:t>
        </w:r>
      </w:hyperlink>
      <w:r>
        <w:rPr>
          <w:sz w:val="20"/>
        </w:rPr>
        <w:t xml:space="preserve"> перечня представляются заявителем лично с заверенным переводом на русский язык в соответствии с законодательством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Документы (сведения), составленные на украинском языке, представляются заявителями из числа граждан Российской Федерации, иностранных граждан и лиц без гражданства, постоянно проживавших на территориях Донецкой Народной Республики, Луганской Народной Республики, Запорожской области и Херсонской области на день принятия в Российскую Федерацию указанных республик и областей и образования в составе Российской Федерации новых субъектов (30 сентября 2022 г.), постоянно проживавших на территориях Донецкой Народной Республики и Луганской Народной Республики с 11 мая 2014 г. по 29 сентября 2022 г., на территориях Запорожской области и Херсонской области с 24 февраля 2022 г. по 29 сентября 2022 г. и выехавших в эти периоды за пределы указанных территорий в Российскую Федерацию, в том числе через территории третьих государств, или постоянно проживавших по состоянию на день вступления в силу Федерального </w:t>
      </w:r>
      <w:hyperlink w:history="0" r:id="rId14" w:tooltip="Федеральный закон от 17.02.2023 N 18-ФЗ (ред. от 25.12.2023) &quot;Об особенностях правового регулирования отношений в сфере социальной защиты и социального обслуживания граждан, проживающих на территориях Донецкой Народной Республики, Луганской Народной Республики, Запорожской области и Херсонской област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"Об особенностях правового регулирования отношений в сфере социальной защиты и социального обслуживания граждан, проживающих на территориях Донецкой Народной Республики, Луганской Народной Республики, Запорожской области и Херсонской области" на территориях указанных субъектов Российской Федерации, лично без перевода на русский язык.</w:t>
      </w:r>
    </w:p>
    <w:bookmarkStart w:id="50" w:name="P50"/>
    <w:bookmarkEnd w:id="5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Заявитель вправе представить документы (сведения) в соответствии с </w:t>
      </w:r>
      <w:hyperlink w:history="0" w:anchor="P325" w:tooltip="1.">
        <w:r>
          <w:rPr>
            <w:sz w:val="20"/>
            <w:color w:val="0000ff"/>
          </w:rPr>
          <w:t xml:space="preserve">пунктами 1</w:t>
        </w:r>
      </w:hyperlink>
      <w:r>
        <w:rPr>
          <w:sz w:val="20"/>
        </w:rPr>
        <w:t xml:space="preserve">, </w:t>
      </w:r>
      <w:hyperlink w:history="0" w:anchor="P332" w:tooltip="3.">
        <w:r>
          <w:rPr>
            <w:sz w:val="20"/>
            <w:color w:val="0000ff"/>
          </w:rPr>
          <w:t xml:space="preserve">3</w:t>
        </w:r>
      </w:hyperlink>
      <w:r>
        <w:rPr>
          <w:sz w:val="20"/>
        </w:rPr>
        <w:t xml:space="preserve">, </w:t>
      </w:r>
      <w:hyperlink w:history="0" w:anchor="P342" w:tooltip="6.">
        <w:r>
          <w:rPr>
            <w:sz w:val="20"/>
            <w:color w:val="0000ff"/>
          </w:rPr>
          <w:t xml:space="preserve">6</w:t>
        </w:r>
      </w:hyperlink>
      <w:r>
        <w:rPr>
          <w:sz w:val="20"/>
        </w:rPr>
        <w:t xml:space="preserve">, </w:t>
      </w:r>
      <w:hyperlink w:history="0" w:anchor="P352" w:tooltip="9.">
        <w:r>
          <w:rPr>
            <w:sz w:val="20"/>
            <w:color w:val="0000ff"/>
          </w:rPr>
          <w:t xml:space="preserve">9</w:t>
        </w:r>
      </w:hyperlink>
      <w:r>
        <w:rPr>
          <w:sz w:val="20"/>
        </w:rPr>
        <w:t xml:space="preserve"> - </w:t>
      </w:r>
      <w:hyperlink w:history="0" w:anchor="P403" w:tooltip="24.">
        <w:r>
          <w:rPr>
            <w:sz w:val="20"/>
            <w:color w:val="0000ff"/>
          </w:rPr>
          <w:t xml:space="preserve">24</w:t>
        </w:r>
      </w:hyperlink>
      <w:r>
        <w:rPr>
          <w:sz w:val="20"/>
        </w:rPr>
        <w:t xml:space="preserve"> перечня,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самостоятельно.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Нормативными правовыми актами субъектов Российской Федерации и органов местного самоуправления, обеспечивающих исключительно за счет средств соответствующих бюджетов предоставление компенсации, могут быть установлены иные документы (сведения), необходимые для назначения компенсации, отличные от документов (сведений), указанных в </w:t>
      </w:r>
      <w:hyperlink w:history="0" w:anchor="P318" w:tooltip="ПЕРЕЧЕНЬ">
        <w:r>
          <w:rPr>
            <w:sz w:val="20"/>
            <w:color w:val="0000ff"/>
          </w:rPr>
          <w:t xml:space="preserve">перечне</w:t>
        </w:r>
      </w:hyperlink>
      <w:r>
        <w:rPr>
          <w:sz w:val="20"/>
        </w:rPr>
        <w:t xml:space="preserve">, либо уменьшено их количество в зависимости от конкретной жизненной ситуации.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Подача в орган, предоставляющий услугу, заявления о компенсации с прилагаемыми документами (сведениями) в электронной форме с использованием единого портала или регионального портала осуществляется с использованием простой электронной подписи при условии, что личность заявителя установлена при личном приеме при выдаче ключа простой электронной подписи, или усиленной неквалифицированной электронной подписи,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Регистрация заявления о компенсации с прилагаемыми документами (сведениями) осуществляется не позднее одного рабочего дня со дня подачи заявления о компенсации лично (со дня направления заявления о компенсации в случае подачи заявления с использованием единого портала или регионального портала либо со дня поступления заявления о компенсации в орган, предоставляющий услугу, в случае его подачи через многофункциональный центр).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11. Основаниями для отказа в приеме заявления о компенсации с документами (сведениями)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неполное или некорректное заполнение полей в форме заявления о компенсации, в том числе в интерактивной форме заявления о компенсации на едином портале или региональном портале;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истечение срока действия документа (сведений) (на день подачи заявления о компенсации);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представленные документы (сведения) содержат подчистки и исправления текста, не заверенные в порядке, установленном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подача заявления о компенсации лицом, не уполномоченным на осуществление таких действий;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представленные документы (сведения) содержат повреждения, наличие которых не позволяет в полном объеме использовать информацию, содержащуюся в них,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представление документов (сведений), не соответствующих по форме или содержанию требованиям законодательства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заявление о компенсации с документами (сведениями) подано в электронной форме с нарушением установленных требований.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12. Заявитель несет ответственность за неполноту и недостоверность сведений, указанных в заявлении о компенсации, в соответствии с законодательством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13. Решение о предоставлении или об отказе в предоставлении компенсации принимается органом, предоставляющим услугу, в течение 10 рабочих дней со дня регистрации заявления о компенсации по рекомендуемым формам согласно </w:t>
      </w:r>
      <w:hyperlink w:history="0" w:anchor="P422" w:tooltip="РЕШЕНИЕ">
        <w:r>
          <w:rPr>
            <w:sz w:val="20"/>
            <w:color w:val="0000ff"/>
          </w:rPr>
          <w:t xml:space="preserve">приложениям N 3</w:t>
        </w:r>
      </w:hyperlink>
      <w:r>
        <w:rPr>
          <w:sz w:val="20"/>
        </w:rPr>
        <w:t xml:space="preserve"> и </w:t>
      </w:r>
      <w:hyperlink w:history="0" w:anchor="P475" w:tooltip="РЕШЕНИЕ">
        <w:r>
          <w:rPr>
            <w:sz w:val="20"/>
            <w:color w:val="0000ff"/>
          </w:rPr>
          <w:t xml:space="preserve">4</w:t>
        </w:r>
      </w:hyperlink>
      <w:r>
        <w:rPr>
          <w:sz w:val="20"/>
        </w:rPr>
        <w:t xml:space="preserve">. Оставление заявления о компенсации без рассмотрения не допускается.</w:t>
      </w:r>
    </w:p>
    <w:bookmarkStart w:id="64" w:name="P64"/>
    <w:bookmarkEnd w:id="6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14. При подаче заявления о компенсации посредством единого портала или регионального портала орган, предоставляющий услугу, в случае необходимости представления документов (сведений), обязанность по представлению которых возложена на заявителя в соответствии с </w:t>
      </w:r>
      <w:hyperlink w:history="0" w:anchor="P318" w:tooltip="ПЕРЕЧЕНЬ">
        <w:r>
          <w:rPr>
            <w:sz w:val="20"/>
            <w:color w:val="0000ff"/>
          </w:rPr>
          <w:t xml:space="preserve">перечнем</w:t>
        </w:r>
      </w:hyperlink>
      <w:r>
        <w:rPr>
          <w:sz w:val="20"/>
        </w:rPr>
        <w:t xml:space="preserve"> (в зависимости от сложившейся конкретной жизненной ситуации), не позднее одного рабочего дня со дня регистрации заявления о компенсации направляет заявителю через единый портал или региональный портал уведомление о необходимости представления документов (сведений).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Заявитель в течение 5 рабочих дней со дня получения уведомления от органа, предоставляющего услугу, представляет документы (сведения) в соответствии с </w:t>
      </w:r>
      <w:hyperlink w:history="0" w:anchor="P318" w:tooltip="ПЕРЕЧЕНЬ">
        <w:r>
          <w:rPr>
            <w:sz w:val="20"/>
            <w:color w:val="0000ff"/>
          </w:rPr>
          <w:t xml:space="preserve">перечнем</w:t>
        </w:r>
      </w:hyperlink>
      <w:r>
        <w:rPr>
          <w:sz w:val="20"/>
        </w:rPr>
        <w:t xml:space="preserve"> (в зависимости от сложившейся конкретной жизненной ситуации).</w:t>
      </w:r>
    </w:p>
    <w:bookmarkStart w:id="66" w:name="P66"/>
    <w:bookmarkEnd w:id="6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15. В случае если при личном обращении за предоставлением компенсации, в том числе через многофункциональный центр, заявителем представлен неполный комплект документов (сведений), обязанность по представлению которых возложена на заявителя в соответствии с </w:t>
      </w:r>
      <w:hyperlink w:history="0" w:anchor="P318" w:tooltip="ПЕРЕЧЕНЬ">
        <w:r>
          <w:rPr>
            <w:sz w:val="20"/>
            <w:color w:val="0000ff"/>
          </w:rPr>
          <w:t xml:space="preserve">перечнем</w:t>
        </w:r>
      </w:hyperlink>
      <w:r>
        <w:rPr>
          <w:sz w:val="20"/>
        </w:rPr>
        <w:t xml:space="preserve"> (в зависимости от сложившейся конкретной жизненной ситуации), заявитель обязан представить в орган, предоставляющий услугу, в течение 5 рабочих дней со дня регистрации заявления о компенсации органом, предоставляющим услугу, недостающие документы (сведения).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 Срок рассмотрения заявления о компенсации приостанавливается на 10 рабочих дней в случае непоступления документов (сведений), запрашиваемых посредством единой системы межведомственного электронного взаимодействия.</w:t>
      </w:r>
    </w:p>
    <w:bookmarkStart w:id="68" w:name="P68"/>
    <w:bookmarkEnd w:id="6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17. В случае установления факта наличия в заявлении о компенсации и (или) документах (сведениях), представленных заявителем, неполной информации, орган, предоставляющий услугу, приостанавливает предоставление услуги и не позднее одного рабочего дня со дня принятия данного решения уведомляет заявителя о приостановлении рассмотрения заявления о компенсации с указанием информации, подлежащей корректировке, но не более чем на 5 рабочих дней со дня получения заявителем уведомления.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Заявитель в течение 5 рабочих дней после получения уведомления о приостановке предоставления услуги направляет в орган, предоставляющий услугу (способом, указанным в заявлении о компенсации), доработанное заявление о компенсации и (или) доработанные документы (сведения).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18. Основаниями для отказа в предоставлении услуги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представление документов (сведений) в соответствии с </w:t>
      </w:r>
      <w:hyperlink w:history="0" w:anchor="P50" w:tooltip="Заявитель вправе представить документы (сведения) в соответствии с пунктами 1, 3, 6, 9 - 24 перечня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самостоятельно.">
        <w:r>
          <w:rPr>
            <w:sz w:val="20"/>
            <w:color w:val="0000ff"/>
          </w:rPr>
          <w:t xml:space="preserve">абзацем четвертым пункта 8</w:t>
        </w:r>
      </w:hyperlink>
      <w:r>
        <w:rPr>
          <w:sz w:val="20"/>
        </w:rPr>
        <w:t xml:space="preserve"> настоящего документа, которые противоречат сведениям, полученным в ходе межведомственного информационного взаимодействия в электронной форме;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несоответствие заявителя категории лиц, имеющих право на предоставление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представление заявителем неполного комплекта документов (сведений), обязанность по представлению которых возложена на заявителя в соответствии с </w:t>
      </w:r>
      <w:hyperlink w:history="0" w:anchor="P318" w:tooltip="ПЕРЕЧЕНЬ">
        <w:r>
          <w:rPr>
            <w:sz w:val="20"/>
            <w:color w:val="0000ff"/>
          </w:rPr>
          <w:t xml:space="preserve">перечнем</w:t>
        </w:r>
      </w:hyperlink>
      <w:r>
        <w:rPr>
          <w:sz w:val="20"/>
        </w:rPr>
        <w:t xml:space="preserve"> (в зависимости от сложившейся конкретной жизненной ситуации), по истечении срока, предусмотренного </w:t>
      </w:r>
      <w:hyperlink w:history="0" w:anchor="P64" w:tooltip="14. При подаче заявления о компенсации посредством единого портала или регионального портала орган, предоставляющий услугу, в случае необходимости представления документов (сведений), обязанность по представлению которых возложена на заявителя в соответствии с перечнем (в зависимости от сложившейся конкретной жизненной ситуации), не позднее одного рабочего дня со дня регистрации заявления о компенсации направляет заявителю через единый портал или региональный портал уведомление о необходимости представле...">
        <w:r>
          <w:rPr>
            <w:sz w:val="20"/>
            <w:color w:val="0000ff"/>
          </w:rPr>
          <w:t xml:space="preserve">пунктами 14</w:t>
        </w:r>
      </w:hyperlink>
      <w:r>
        <w:rPr>
          <w:sz w:val="20"/>
        </w:rPr>
        <w:t xml:space="preserve">, </w:t>
      </w:r>
      <w:hyperlink w:history="0" w:anchor="P66" w:tooltip="15. В случае если при личном обращении за предоставлением компенсации, в том числе через многофункциональный центр, заявителем представлен неполный комплект документов (сведений), обязанность по представлению которых возложена на заявителя в соответствии с перечнем (в зависимости от сложившейся конкретной жизненной ситуации), заявитель обязан представить в орган, предоставляющий услугу, в течение 5 рабочих дней со дня регистрации заявления о компенсации органом, предоставляющим услугу, недостающие докуме...">
        <w:r>
          <w:rPr>
            <w:sz w:val="20"/>
            <w:color w:val="0000ff"/>
          </w:rPr>
          <w:t xml:space="preserve">15</w:t>
        </w:r>
      </w:hyperlink>
      <w:r>
        <w:rPr>
          <w:sz w:val="20"/>
        </w:rPr>
        <w:t xml:space="preserve"> и </w:t>
      </w:r>
      <w:hyperlink w:history="0" w:anchor="P68" w:tooltip="17. В случае установления факта наличия в заявлении о компенсации и (или) документах (сведениях), представленных заявителем, неполной информации, орган, предоставляющий услугу, приостанавливает предоставление услуги и не позднее одного рабочего дня со дня принятия данного решения уведомляет заявителя о приостановлении рассмотрения заявления о компенсации с указанием информации, подлежащей корректировке, но не более чем на 5 рабочих дней со дня получения заявителем уведомления.">
        <w:r>
          <w:rPr>
            <w:sz w:val="20"/>
            <w:color w:val="0000ff"/>
          </w:rPr>
          <w:t xml:space="preserve">17</w:t>
        </w:r>
      </w:hyperlink>
      <w:r>
        <w:rPr>
          <w:sz w:val="20"/>
        </w:rPr>
        <w:t xml:space="preserve"> настоящего документа для представления доработанных заявителем документов (сведений);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наличие у заявителя подтвержденной вступившим в законную силу судебным актом непогашенной задолженности по оплате жилого помещения и коммунальных услуг, образовавшейся не более чем за 3 последних года;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5" w:tooltip="Постановление Правительства РФ от 01.07.2024 N 901 &quot;О внесении изменений в постановление Правительства Российской Федерации от 27 мая 2023 г. N 835&quot; {КонсультантПлюс}">
        <w:r>
          <w:rPr>
            <w:sz w:val="20"/>
            <w:color w:val="0000ff"/>
          </w:rPr>
          <w:t xml:space="preserve">Постановления</w:t>
        </w:r>
      </w:hyperlink>
      <w:r>
        <w:rPr>
          <w:sz w:val="20"/>
        </w:rPr>
        <w:t xml:space="preserve"> Правительства РФ от 01.07.2024 N 901)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на день подачи заявления заявитель уже является получателем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18(1). При принятии решения о предоставлении или об отказе в предоставлении компенсации используются сведения о наличии у граждан подтвержденной вступившим в законную силу судебным актом непогашенной задолженности по оплате жилого помещения и коммунальных услуг, образовавшейся не более чем за 3 последних года, которые содержатся в государственной информационной системе жилищно-коммунального хозяйства, по состоянию на первое число месяца, в котором принимается указанное решение.</w:t>
      </w:r>
    </w:p>
    <w:p>
      <w:pPr>
        <w:pStyle w:val="0"/>
        <w:jc w:val="both"/>
      </w:pPr>
      <w:r>
        <w:rPr>
          <w:sz w:val="20"/>
        </w:rPr>
        <w:t xml:space="preserve">(п. 18(1) введен </w:t>
      </w:r>
      <w:hyperlink w:history="0" r:id="rId16" w:tooltip="Постановление Правительства РФ от 01.07.2024 N 901 &quot;О внесении изменений в постановление Правительства Российской Федерации от 27 мая 2023 г. N 835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РФ от 01.07.2024 N 901)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19. В личном кабинете заявителя на едином портале размещаются статусы о ходе предоставления услуги: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заявление о компенсации зарегистрировано;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предоставление услуги приостановлено;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услуга предоставлена;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в предоставлении услуги отказано.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20. Решение о предоставлении компенсации либо об отказе в предоставлении компенсации направляется способом, указанным в заявлении о компенсации.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Информация о принятом решении о предоставлении компенсации размещается органом, предоставляющим услугу, в Единой государственной информационной системе социального обеспечения не позднее одного рабочего дня после принятия решения в соответствии с требованиями, установленными Федеральным </w:t>
      </w:r>
      <w:hyperlink w:history="0" r:id="rId17" w:tooltip="Федеральный закон от 17.07.1999 N 178-ФЗ (ред. от 29.05.2024) &quot;О государственной социальной помощ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 государственной социальной помощи".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21. Заявитель при обнаружении допущенных опечаток и ошибок в выданных в результате предоставления услуги документах обращается в орган, предоставляющий услугу, с заявлением о необходимости исправления опечаток и ошибок, составленным в свободной форме, в котором содержится указание на их описание.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Орган, предоставляющий услугу, при получении указанного заявления рассматривает вопрос о необходимости внесения изменений в выданные в результате предоставления услуги документы.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необходимости внесения изменений в выданные в результате предоставления услуги документы орган, предоставляющий услугу, обеспечивает устранение допущенных опечаток и ошибок в таких документах и уведомляет заявителя о возможности получения исправленных документов способом, указанным в заявлении о необходимости исправления опечаток и ошибок, в срок, не превышающий 5 рабочих дней со дня регистрации такого заявления о необходимости исправления опечаток и ошибок.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отсутствия необходимости внесения изменений в выданные в результате предоставления услуги документы орган, предоставляющий услугу, уведомляет об этом заявителя способом, указанным в заявлении о необходимости исправления опечаток и ошибок, в срок, не превышающий 5 рабочих дней со дня регистрации заявления о необходимости исправления опечаток и ошибок.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22. Орган, предоставляющий услугу, при обнаружении допущенных опечаток и ошибок в выданных в результате предоставления услуги документах обеспечивает их устранение и направляет заявителю документы в срок, не превышающий 5 рабочих дней со дня обнаружения таких опечаток и ошибок, способом, указанным в заявлении о компенсации.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23. Оформление дубликата документа, выданного по результатам предоставления услуги, не предусмотрено.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единому стандарту предоставления</w:t>
      </w:r>
    </w:p>
    <w:p>
      <w:pPr>
        <w:pStyle w:val="0"/>
        <w:jc w:val="right"/>
      </w:pPr>
      <w:r>
        <w:rPr>
          <w:sz w:val="20"/>
        </w:rPr>
        <w:t xml:space="preserve">компенсации расходов на оплату жилого</w:t>
      </w:r>
    </w:p>
    <w:p>
      <w:pPr>
        <w:pStyle w:val="0"/>
        <w:jc w:val="right"/>
      </w:pPr>
      <w:r>
        <w:rPr>
          <w:sz w:val="20"/>
        </w:rPr>
        <w:t xml:space="preserve">помещения и коммунальных услуг</w:t>
      </w:r>
    </w:p>
    <w:p>
      <w:pPr>
        <w:pStyle w:val="0"/>
        <w:jc w:val="right"/>
      </w:pPr>
      <w:r>
        <w:rPr>
          <w:sz w:val="20"/>
        </w:rPr>
        <w:t xml:space="preserve">отдельным категориям граждан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(рекомендуемая форма)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bookmarkStart w:id="105" w:name="P105"/>
          <w:bookmarkEnd w:id="105"/>
          <w:p>
            <w:pPr>
              <w:pStyle w:val="0"/>
              <w:jc w:val="center"/>
            </w:pPr>
            <w:r>
              <w:rPr>
                <w:sz w:val="20"/>
              </w:rPr>
              <w:t xml:space="preserve">ЗАЯВЛЕНИЕ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 компенсации расходов на оплату жилого помещения и коммунальных услуг отдельным категориям граждан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65"/>
        <w:gridCol w:w="8597"/>
      </w:tblGrid>
      <w:tr>
        <w:tc>
          <w:tcPr>
            <w:tcW w:w="465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</w:t>
            </w:r>
          </w:p>
        </w:tc>
        <w:tc>
          <w:tcPr>
            <w:tcW w:w="8597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65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8597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предоставляющего услугу)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210"/>
        <w:gridCol w:w="1321"/>
        <w:gridCol w:w="570"/>
        <w:gridCol w:w="2959"/>
      </w:tblGrid>
      <w:tr>
        <w:tc>
          <w:tcPr>
            <w:tcW w:w="421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321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Заявитель</w:t>
            </w:r>
          </w:p>
        </w:tc>
        <w:tc>
          <w:tcPr>
            <w:gridSpan w:val="2"/>
            <w:tcW w:w="3529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21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1891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Представитель</w:t>
            </w:r>
          </w:p>
        </w:tc>
        <w:tc>
          <w:tcPr>
            <w:tcW w:w="2959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_______________ от _______________</w:t>
            </w:r>
          </w:p>
        </w:tc>
      </w:tr>
      <w:tr>
        <w:tc>
          <w:tcPr>
            <w:tcW w:w="906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62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заявителя)</w:t>
            </w:r>
          </w:p>
        </w:tc>
      </w:tr>
      <w:tr>
        <w:tc>
          <w:tcPr>
            <w:tcW w:w="9062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Дата рождения 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СНИЛС 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Тел. 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Адрес электронной почты ________________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230"/>
        <w:gridCol w:w="1945"/>
        <w:gridCol w:w="1939"/>
        <w:gridCol w:w="1949"/>
      </w:tblGrid>
      <w:tr>
        <w:tc>
          <w:tcPr>
            <w:tcW w:w="3230" w:type="dxa"/>
          </w:tcPr>
          <w:p>
            <w:pPr>
              <w:pStyle w:val="0"/>
            </w:pPr>
            <w:r>
              <w:rPr>
                <w:sz w:val="20"/>
              </w:rPr>
              <w:t xml:space="preserve">Наименование документа, удостоверяющего личность</w:t>
            </w:r>
          </w:p>
        </w:tc>
        <w:tc>
          <w:tcPr>
            <w:tcW w:w="194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39" w:type="dxa"/>
          </w:tcPr>
          <w:p>
            <w:pPr>
              <w:pStyle w:val="0"/>
            </w:pPr>
            <w:r>
              <w:rPr>
                <w:sz w:val="20"/>
              </w:rPr>
              <w:t xml:space="preserve">Дата выдачи</w:t>
            </w:r>
          </w:p>
        </w:tc>
        <w:tc>
          <w:tcPr>
            <w:tcW w:w="19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230" w:type="dxa"/>
          </w:tcPr>
          <w:p>
            <w:pPr>
              <w:pStyle w:val="0"/>
            </w:pPr>
            <w:r>
              <w:rPr>
                <w:sz w:val="20"/>
              </w:rPr>
              <w:t xml:space="preserve">Серия и номер документа</w:t>
            </w:r>
          </w:p>
        </w:tc>
        <w:tc>
          <w:tcPr>
            <w:tcW w:w="194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39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19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230" w:type="dxa"/>
          </w:tcPr>
          <w:p>
            <w:pPr>
              <w:pStyle w:val="0"/>
            </w:pPr>
            <w:r>
              <w:rPr>
                <w:sz w:val="20"/>
              </w:rPr>
              <w:t xml:space="preserve">Кем выдан</w:t>
            </w:r>
          </w:p>
        </w:tc>
        <w:tc>
          <w:tcPr>
            <w:tcW w:w="194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39" w:type="dxa"/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19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Адрес регистрации по месту жительства на территории субъекта Российской Федерации _______________________________________________________________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Адрес регистрации по месту пребывания на территории субъекта Российской Федерации (в случае отсутствия регистрации по месту жительства на территории субъекта Российской Федерации) __________________________________________________________________________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Сведения о представителе</w:t>
            </w:r>
          </w:p>
        </w:tc>
      </w:tr>
      <w:tr>
        <w:tc>
          <w:tcPr>
            <w:tcW w:w="9062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Вид представителя _________________________________________________________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Фамилия, имя, отчество (при наличии) ________________________________________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Дата рождения 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СНИЛС _______________________________________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Тел. __________________________________________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Адрес электронной почты _______________________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230"/>
        <w:gridCol w:w="1945"/>
        <w:gridCol w:w="1939"/>
        <w:gridCol w:w="1949"/>
      </w:tblGrid>
      <w:tr>
        <w:tc>
          <w:tcPr>
            <w:tcW w:w="3230" w:type="dxa"/>
          </w:tcPr>
          <w:p>
            <w:pPr>
              <w:pStyle w:val="0"/>
            </w:pPr>
            <w:r>
              <w:rPr>
                <w:sz w:val="20"/>
              </w:rPr>
              <w:t xml:space="preserve">Наименование документа, удостоверяющего личность</w:t>
            </w:r>
          </w:p>
        </w:tc>
        <w:tc>
          <w:tcPr>
            <w:tcW w:w="194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39" w:type="dxa"/>
          </w:tcPr>
          <w:p>
            <w:pPr>
              <w:pStyle w:val="0"/>
            </w:pPr>
            <w:r>
              <w:rPr>
                <w:sz w:val="20"/>
              </w:rPr>
              <w:t xml:space="preserve">Дата выдачи</w:t>
            </w:r>
          </w:p>
        </w:tc>
        <w:tc>
          <w:tcPr>
            <w:tcW w:w="19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230" w:type="dxa"/>
          </w:tcPr>
          <w:p>
            <w:pPr>
              <w:pStyle w:val="0"/>
            </w:pPr>
            <w:r>
              <w:rPr>
                <w:sz w:val="20"/>
              </w:rPr>
              <w:t xml:space="preserve">Серия и номер документа</w:t>
            </w:r>
          </w:p>
        </w:tc>
        <w:tc>
          <w:tcPr>
            <w:tcW w:w="194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39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19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230" w:type="dxa"/>
          </w:tcPr>
          <w:p>
            <w:pPr>
              <w:pStyle w:val="0"/>
            </w:pPr>
            <w:r>
              <w:rPr>
                <w:sz w:val="20"/>
              </w:rPr>
              <w:t xml:space="preserve">Кем выдан</w:t>
            </w:r>
          </w:p>
        </w:tc>
        <w:tc>
          <w:tcPr>
            <w:tcW w:w="194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39" w:type="dxa"/>
          </w:tcPr>
          <w:p>
            <w:pPr>
              <w:pStyle w:val="0"/>
            </w:pPr>
            <w:r>
              <w:rPr>
                <w:sz w:val="20"/>
              </w:rPr>
              <w:t xml:space="preserve">Место рождения</w:t>
            </w:r>
          </w:p>
        </w:tc>
        <w:tc>
          <w:tcPr>
            <w:tcW w:w="194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989"/>
        <w:gridCol w:w="436"/>
        <w:gridCol w:w="1455"/>
        <w:gridCol w:w="3182"/>
      </w:tblGrid>
      <w:tr>
        <w:tc>
          <w:tcPr>
            <w:gridSpan w:val="4"/>
            <w:tcW w:w="9062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Причина отнесения заявителя к отдельным категориям граждан</w:t>
            </w:r>
          </w:p>
        </w:tc>
      </w:tr>
      <w:tr>
        <w:tc>
          <w:tcPr>
            <w:gridSpan w:val="2"/>
            <w:tcW w:w="442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2"/>
            <w:tcW w:w="442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(указать льготную категорию)</w:t>
            </w:r>
          </w:p>
        </w:tc>
        <w:tc>
          <w:tcPr>
            <w:gridSpan w:val="2"/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62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Номер и дата выдачи документа, подтверждающего льготную категорию</w:t>
            </w:r>
          </w:p>
        </w:tc>
      </w:tr>
      <w:tr>
        <w:tc>
          <w:tcPr>
            <w:gridSpan w:val="3"/>
            <w:tcW w:w="588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8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single" w:sz="4"/>
          </w:tblBorders>
        </w:tblPrEx>
        <w:tc>
          <w:tcPr>
            <w:tcW w:w="3989" w:type="dxa"/>
            <w:vAlign w:val="bottom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Срок действия льготной категории</w:t>
            </w:r>
          </w:p>
        </w:tc>
        <w:tc>
          <w:tcPr>
            <w:gridSpan w:val="2"/>
            <w:tcW w:w="1891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8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Сведения о жилом помещении, в котором заявитель зарегистрирован по месту жительства (месту пребывания) и в отношении которого будет получать компенсацию расходов на оплату жилого помещения и коммунальных услуг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709"/>
        <w:gridCol w:w="4351"/>
      </w:tblGrid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Вид жилого помещения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Номер лицевого счета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Кем является заявитель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Сведения о правообладателе жилого помещения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Имя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Отчество (при наличии)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  <w:t xml:space="preserve">если есть</w:t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СНИЛС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  <w:t xml:space="preserve">если есть</w:t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Кем является правообладатель жилого помещения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Кадастровый номер жилого помещения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2"/>
            <w:tcW w:w="9060" w:type="dxa"/>
          </w:tcPr>
          <w:p>
            <w:pPr>
              <w:pStyle w:val="0"/>
              <w:outlineLvl w:val="3"/>
              <w:jc w:val="center"/>
            </w:pPr>
            <w:r>
              <w:rPr>
                <w:sz w:val="20"/>
              </w:rPr>
              <w:t xml:space="preserve">Сведения о договоре найма (поднайма) жилого помещения</w:t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Наименование документа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Номер документа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Дата выдачи документа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Орган, выдавший документ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2"/>
            <w:tcW w:w="9060" w:type="dxa"/>
          </w:tcPr>
          <w:p>
            <w:pPr>
              <w:pStyle w:val="0"/>
              <w:outlineLvl w:val="3"/>
              <w:jc w:val="center"/>
            </w:pPr>
            <w:r>
              <w:rPr>
                <w:sz w:val="20"/>
              </w:rPr>
              <w:t xml:space="preserve">Сведения о договоре найма жилого помещения</w:t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Наименование документа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Номер документа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Дата выдачи документа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Фамилия, имя, отчество физического лица, с которым заключен договор найма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Дата рождения физического лица, с которым заключен договор найма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709" w:type="dxa"/>
          </w:tcPr>
          <w:p>
            <w:pPr>
              <w:pStyle w:val="0"/>
            </w:pPr>
            <w:r>
              <w:rPr>
                <w:sz w:val="20"/>
              </w:rPr>
              <w:t xml:space="preserve">Вид отопления</w:t>
            </w:r>
          </w:p>
        </w:tc>
        <w:tc>
          <w:tcPr>
            <w:tcW w:w="4351" w:type="dxa"/>
          </w:tcPr>
          <w:p>
            <w:pPr>
              <w:pStyle w:val="0"/>
            </w:pPr>
            <w:r>
              <w:rPr>
                <w:sz w:val="20"/>
              </w:rPr>
              <w:t xml:space="preserve">вид отопления</w:t>
            </w:r>
          </w:p>
          <w:p>
            <w:pPr>
              <w:pStyle w:val="0"/>
            </w:pPr>
            <w:r>
              <w:rPr>
                <w:sz w:val="20"/>
              </w:rPr>
              <w:t xml:space="preserve">подвид (если есть)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Сведения о гражданах, зарегистрированных по месту жительства (пребывания) с заявителем по адресу объекта, в отношении которого подается заявление о предоставлении компенсации расходов на оплату жилого помещения и коммунальных услуг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10"/>
        <w:gridCol w:w="1425"/>
        <w:gridCol w:w="950"/>
        <w:gridCol w:w="1006"/>
        <w:gridCol w:w="1133"/>
        <w:gridCol w:w="1704"/>
        <w:gridCol w:w="2333"/>
      </w:tblGrid>
      <w:tr>
        <w:tc>
          <w:tcPr>
            <w:tcW w:w="51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142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Фамилия, имя, отчество (при наличии)</w:t>
            </w:r>
          </w:p>
        </w:tc>
        <w:tc>
          <w:tcPr>
            <w:tcW w:w="95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Дата рождения</w:t>
            </w:r>
          </w:p>
        </w:tc>
        <w:tc>
          <w:tcPr>
            <w:tcW w:w="100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СНИЛС</w:t>
            </w:r>
          </w:p>
        </w:tc>
        <w:tc>
          <w:tcPr>
            <w:tcW w:w="113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Степень родства</w:t>
            </w:r>
          </w:p>
        </w:tc>
        <w:tc>
          <w:tcPr>
            <w:tcW w:w="17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Документ, удостоверяющий личность (серия, номер, кем и когда выдан, код подразделения)</w:t>
            </w:r>
          </w:p>
        </w:tc>
        <w:tc>
          <w:tcPr>
            <w:tcW w:w="233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Документ, подтверждающий родство с заявителем (реквизиты записи акта о заключении брака, о рождении детей - номер записи, дата записи, наименование органа, которым осуществлена государственная регистрация акта гражданского состояния)</w:t>
            </w:r>
          </w:p>
        </w:tc>
      </w:tr>
      <w:tr>
        <w:tc>
          <w:tcPr>
            <w:tcW w:w="51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14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0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заявитель</w:t>
            </w:r>
          </w:p>
        </w:tc>
        <w:tc>
          <w:tcPr>
            <w:tcW w:w="17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1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1425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950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006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1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7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33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Компенсацию прошу направить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104"/>
        <w:gridCol w:w="7956"/>
      </w:tblGrid>
      <w:tr>
        <w:tc>
          <w:tcPr>
            <w:tcW w:w="110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795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Реквизиты</w:t>
            </w:r>
          </w:p>
        </w:tc>
      </w:tr>
      <w:tr>
        <w:tc>
          <w:tcPr>
            <w:tcW w:w="1104" w:type="dxa"/>
          </w:tcPr>
          <w:p>
            <w:pPr>
              <w:pStyle w:val="0"/>
            </w:pPr>
            <w:r>
              <w:rPr>
                <w:sz w:val="20"/>
              </w:rPr>
              <w:t xml:space="preserve">Почта</w:t>
            </w:r>
          </w:p>
        </w:tc>
        <w:tc>
          <w:tcPr>
            <w:tcW w:w="7956" w:type="dxa"/>
          </w:tcPr>
          <w:p>
            <w:pPr>
              <w:pStyle w:val="0"/>
            </w:pPr>
            <w:r>
              <w:rPr>
                <w:sz w:val="20"/>
              </w:rPr>
              <w:t xml:space="preserve">адрес получателя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________________________________________________________________</w:t>
            </w:r>
          </w:p>
        </w:tc>
      </w:tr>
      <w:tr>
        <w:tc>
          <w:tcPr>
            <w:tcW w:w="1104" w:type="dxa"/>
          </w:tcPr>
          <w:p>
            <w:pPr>
              <w:pStyle w:val="0"/>
            </w:pPr>
            <w:r>
              <w:rPr>
                <w:sz w:val="20"/>
              </w:rPr>
              <w:t xml:space="preserve">Банк</w:t>
            </w:r>
          </w:p>
        </w:tc>
        <w:tc>
          <w:tcPr>
            <w:tcW w:w="7956" w:type="dxa"/>
          </w:tcPr>
          <w:p>
            <w:pPr>
              <w:pStyle w:val="0"/>
            </w:pPr>
            <w:r>
              <w:rPr>
                <w:sz w:val="20"/>
              </w:rPr>
              <w:t xml:space="preserve">данные получателя средств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БИК или наименование банка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корреспондентский счет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________________________________________________________________</w:t>
            </w:r>
          </w:p>
          <w:p>
            <w:pPr>
              <w:pStyle w:val="0"/>
            </w:pPr>
            <w:r>
              <w:rPr>
                <w:sz w:val="20"/>
              </w:rPr>
              <w:t xml:space="preserve">номер счета заявителя</w:t>
            </w:r>
          </w:p>
          <w:p>
            <w:pPr>
              <w:pStyle w:val="0"/>
            </w:pPr>
            <w:r>
              <w:rPr>
                <w:sz w:val="20"/>
              </w:rPr>
              <w:t xml:space="preserve">________________________________________________________________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Результат предоставления услуги хочу получить </w:t>
            </w:r>
            <w:hyperlink w:history="0" w:anchor="P299" w:tooltip="&lt;*&gt; Одновременно можно выбрать как единственный способ получения результата, так и несколько - один из вариантов в бумажном виде совместно с электронным видом.">
              <w:r>
                <w:rPr>
                  <w:sz w:val="20"/>
                  <w:color w:val="0000ff"/>
                </w:rPr>
                <w:t xml:space="preserve">&lt;*&gt;</w:t>
              </w:r>
            </w:hyperlink>
          </w:p>
          <w:p>
            <w:pPr>
              <w:pStyle w:val="0"/>
            </w:pPr>
            <w:r>
              <w:rPr>
                <w:sz w:val="20"/>
              </w:rPr>
              <w:t xml:space="preserve">В бумажном виде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left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440"/>
        <w:gridCol w:w="360"/>
        <w:gridCol w:w="3661"/>
        <w:gridCol w:w="3601"/>
      </w:tblGrid>
      <w:tr>
        <w:tc>
          <w:tcPr>
            <w:tcW w:w="1440" w:type="dxa"/>
            <w:tcBorders>
              <w:top w:val="single" w:sz="4"/>
              <w:left w:val="single" w:sz="4"/>
              <w:bottom w:val="single" w:sz="4"/>
              <w:right w:val="single" w:sz="4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0" w:type="dxa"/>
            <w:tcBorders>
              <w:top w:val="nil"/>
              <w:left w:val="single" w:sz="4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в многофункциональном центре</w:t>
            </w:r>
          </w:p>
        </w:tc>
        <w:tc>
          <w:tcPr>
            <w:tcW w:w="360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vMerge w:val="continue"/>
          </w:tcPr>
          <w:p/>
        </w:tc>
        <w:tc>
          <w:tcPr>
            <w:tcW w:w="360" w:type="dxa"/>
            <w:tcBorders>
              <w:top w:val="nil"/>
              <w:left w:val="single" w:sz="4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6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0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(указать адрес)</w:t>
            </w:r>
          </w:p>
        </w:tc>
      </w:tr>
      <w:tr>
        <w:tc>
          <w:tcPr>
            <w:tcW w:w="1440" w:type="dxa"/>
            <w:tcBorders>
              <w:top w:val="single" w:sz="4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0" w:type="dxa"/>
            <w:tcBorders>
              <w:top w:val="nil"/>
              <w:left w:val="single" w:sz="4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2"/>
            <w:tcW w:w="726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в органе, принимающем решение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 электронном виде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440"/>
        <w:gridCol w:w="360"/>
        <w:gridCol w:w="7262"/>
      </w:tblGrid>
      <w:tr>
        <w:tc>
          <w:tcPr>
            <w:tcW w:w="1440" w:type="dxa"/>
            <w:tcBorders>
              <w:top w:val="single" w:sz="4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0" w:type="dxa"/>
            <w:tcBorders>
              <w:top w:val="single" w:sz="4"/>
              <w:left w:val="single" w:sz="4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7262" w:type="dxa"/>
            <w:tcBorders>
              <w:top w:val="single" w:sz="4"/>
              <w:left w:val="nil"/>
              <w:bottom w:val="single" w:sz="4"/>
              <w:right w:val="single" w:sz="4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в личном кабинете единого портала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 заявлению прилагаю следующие документы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253"/>
        <w:gridCol w:w="7792"/>
      </w:tblGrid>
      <w:tr>
        <w:tc>
          <w:tcPr>
            <w:tcW w:w="125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779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документов</w:t>
            </w:r>
          </w:p>
        </w:tc>
      </w:tr>
      <w:tr>
        <w:tc>
          <w:tcPr>
            <w:tcW w:w="125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779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25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......</w:t>
            </w:r>
          </w:p>
        </w:tc>
        <w:tc>
          <w:tcPr>
            <w:tcW w:w="779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Об ответственности за достоверность представленных сведений предупрежден(на).</w:t>
            </w:r>
          </w:p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Даю согласие на получение, обработку и передачу моих персональных данных в соответствии с Федеральным </w:t>
            </w:r>
            <w:hyperlink w:history="0" r:id="rId18" w:tooltip="Федеральный закон от 27.07.2006 N 149-ФЗ (ред. от 23.11.2024) &quot;Об информации, информационных технологиях и о защите информации&quot; {КонсультантПлюс}">
              <w:r>
                <w:rPr>
                  <w:sz w:val="20"/>
                  <w:color w:val="0000ff"/>
                </w:rPr>
                <w:t xml:space="preserve">законом</w:t>
              </w:r>
            </w:hyperlink>
            <w:r>
              <w:rPr>
                <w:sz w:val="20"/>
              </w:rPr>
              <w:t xml:space="preserve"> "Об информации, информационных технологиях и о защите информации" и Федеральным </w:t>
            </w:r>
            <w:hyperlink w:history="0" r:id="rId19" w:tooltip="Федеральный закон от 27.07.2006 N 152-ФЗ (ред. от 08.08.2024) &quot;О персональных данных&quot; {КонсультантПлюс}">
              <w:r>
                <w:rPr>
                  <w:sz w:val="20"/>
                  <w:color w:val="0000ff"/>
                </w:rPr>
                <w:t xml:space="preserve">законом</w:t>
              </w:r>
            </w:hyperlink>
            <w:r>
              <w:rPr>
                <w:sz w:val="20"/>
              </w:rPr>
              <w:t xml:space="preserve"> "О персональных данных".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99" w:name="P299"/>
    <w:bookmarkEnd w:id="29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Одновременно можно выбрать как единственный способ получения результата, так и несколько - один из вариантов в бумажном виде совместно с электронным видом.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474"/>
        <w:gridCol w:w="1805"/>
        <w:gridCol w:w="5766"/>
      </w:tblGrid>
      <w:tr>
        <w:tc>
          <w:tcPr>
            <w:tcW w:w="1474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Дата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5766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Подпись заявителя _______________</w:t>
            </w:r>
          </w:p>
        </w:tc>
      </w:tr>
      <w:tr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576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единому стандарту предоставления</w:t>
      </w:r>
    </w:p>
    <w:p>
      <w:pPr>
        <w:pStyle w:val="0"/>
        <w:jc w:val="right"/>
      </w:pPr>
      <w:r>
        <w:rPr>
          <w:sz w:val="20"/>
        </w:rPr>
        <w:t xml:space="preserve">компенсации расходов на оплату жилого</w:t>
      </w:r>
    </w:p>
    <w:p>
      <w:pPr>
        <w:pStyle w:val="0"/>
        <w:jc w:val="right"/>
      </w:pPr>
      <w:r>
        <w:rPr>
          <w:sz w:val="20"/>
        </w:rPr>
        <w:t xml:space="preserve">помещения и коммунальных услуг</w:t>
      </w:r>
    </w:p>
    <w:p>
      <w:pPr>
        <w:pStyle w:val="0"/>
        <w:jc w:val="right"/>
      </w:pPr>
      <w:r>
        <w:rPr>
          <w:sz w:val="20"/>
        </w:rPr>
        <w:t xml:space="preserve">отдельным категориям граждан</w:t>
      </w:r>
    </w:p>
    <w:p>
      <w:pPr>
        <w:pStyle w:val="0"/>
        <w:jc w:val="both"/>
      </w:pPr>
      <w:r>
        <w:rPr>
          <w:sz w:val="20"/>
        </w:rPr>
      </w:r>
    </w:p>
    <w:bookmarkStart w:id="318" w:name="P318"/>
    <w:bookmarkEnd w:id="318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ДОКУМЕНТОВ (СВЕДЕНИЙ), НЕОБХОДИМЫХ ДЛЯ НАЗНАЧЕНИЯ</w:t>
      </w:r>
    </w:p>
    <w:p>
      <w:pPr>
        <w:pStyle w:val="2"/>
        <w:jc w:val="center"/>
      </w:pPr>
      <w:r>
        <w:rPr>
          <w:sz w:val="20"/>
        </w:rPr>
        <w:t xml:space="preserve">КОМПЕНСАЦИИ РАСХОДОВ НА ОПЛАТУ ЖИЛОГО ПОМЕЩЕНИЯ</w:t>
      </w:r>
    </w:p>
    <w:p>
      <w:pPr>
        <w:pStyle w:val="2"/>
        <w:jc w:val="center"/>
      </w:pPr>
      <w:r>
        <w:rPr>
          <w:sz w:val="20"/>
        </w:rPr>
        <w:t xml:space="preserve">И КОММУНАЛЬНЫХ УСЛУГ ОТДЕЛЬНЫМ КАТЕГОРИЯМ ГРАЖДАН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57"/>
        <w:gridCol w:w="4251"/>
        <w:gridCol w:w="4252"/>
      </w:tblGrid>
      <w:tr>
        <w:tblPrEx>
          <w:tblBorders>
            <w:insideV w:val="single" w:sz="4"/>
            <w:insideH w:val="single" w:sz="4"/>
          </w:tblBorders>
        </w:tblPrEx>
        <w:tc>
          <w:tcPr>
            <w:gridSpan w:val="2"/>
            <w:tcW w:w="4808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документа (сведений)</w:t>
            </w:r>
          </w:p>
        </w:tc>
        <w:tc>
          <w:tcPr>
            <w:tcW w:w="4252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Источник поступления документов (сведений), способ получения</w:t>
            </w:r>
          </w:p>
        </w:tc>
      </w:tr>
      <w:tr>
        <w:tc>
          <w:tcPr>
            <w:tcW w:w="557" w:type="dxa"/>
            <w:tcBorders>
              <w:top w:val="single" w:sz="4"/>
              <w:left w:val="nil"/>
              <w:bottom w:val="nil"/>
              <w:right w:val="nil"/>
            </w:tcBorders>
          </w:tcPr>
          <w:bookmarkStart w:id="325" w:name="P325"/>
          <w:bookmarkEnd w:id="325"/>
          <w:p>
            <w:pPr>
              <w:pStyle w:val="0"/>
              <w:jc w:val="center"/>
            </w:pPr>
            <w:r>
              <w:rPr>
                <w:sz w:val="20"/>
              </w:rPr>
              <w:t xml:space="preserve">1.</w:t>
            </w:r>
          </w:p>
        </w:tc>
        <w:tc>
          <w:tcPr>
            <w:tcW w:w="425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рождении (за исключением случаев регистрации записи соответствующего акта компетентным органом иностранного государства)</w:t>
            </w:r>
          </w:p>
        </w:tc>
        <w:tc>
          <w:tcPr>
            <w:tcW w:w="4252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ФНС России (Единый государственный реестр записей актов гражданского состояния), посредством единой системы межведомственного электронного взаимодействия;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ФНС России (единый федеральный информационный регистр, содержащий сведения о населении Российской Федерации),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bookmarkStart w:id="329" w:name="P329"/>
          <w:bookmarkEnd w:id="329"/>
          <w:p>
            <w:pPr>
              <w:pStyle w:val="0"/>
              <w:jc w:val="center"/>
            </w:pPr>
            <w:r>
              <w:rPr>
                <w:sz w:val="20"/>
              </w:rPr>
              <w:t xml:space="preserve">2.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Документ иностранного государства о рождении (в случае регистрации записи соответствующего акта компетентным органом иностранного государства)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заявитель, посредством представления подтверждающих документов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bookmarkStart w:id="332" w:name="P332"/>
          <w:bookmarkEnd w:id="332"/>
          <w:p>
            <w:pPr>
              <w:pStyle w:val="0"/>
              <w:jc w:val="center"/>
            </w:pPr>
            <w:r>
              <w:rPr>
                <w:sz w:val="20"/>
              </w:rPr>
              <w:t xml:space="preserve">3.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смерти (за исключением случаев регистрации записи соответствующего акта компетентным органом иностранного государства)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ФНС России (Единый государственный реестр записей актов гражданского состояния), посредством единой системы межведомственного электронного взаимодействия;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ФНС России (единый федеральный информационный регистр, содержащий сведения о населении Российской Федерации),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bookmarkStart w:id="336" w:name="P336"/>
          <w:bookmarkEnd w:id="336"/>
          <w:p>
            <w:pPr>
              <w:pStyle w:val="0"/>
              <w:jc w:val="center"/>
            </w:pPr>
            <w:r>
              <w:rPr>
                <w:sz w:val="20"/>
              </w:rPr>
              <w:t xml:space="preserve">4.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Документ иностранного государства о смерти (в случае регистрации записи соответствующего акта компетентным органом иностранного государства)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заявитель, посредством представления подтверждающих документов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Документ, подтверждающий правовые основания владения и пользования заявителем жилым помещением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заявитель, посредством представления подтверждающих документов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bookmarkStart w:id="342" w:name="P342"/>
          <w:bookmarkEnd w:id="342"/>
          <w:p>
            <w:pPr>
              <w:pStyle w:val="0"/>
              <w:jc w:val="center"/>
            </w:pPr>
            <w:r>
              <w:rPr>
                <w:sz w:val="20"/>
              </w:rPr>
              <w:t xml:space="preserve">6.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заключении (расторжении) брака (за исключением случаев регистрации записи соответствующего акта компетентным органом иностранного государства)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ФНС России (Единый государственный реестр записей актов гражданского состояния), посредством единой системы межведомственного электронного взаимодействия;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ФНС России (единый федеральный информационный регистр, содержащий сведения о населении Российской Федерации),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bookmarkStart w:id="346" w:name="P346"/>
          <w:bookmarkEnd w:id="346"/>
          <w:p>
            <w:pPr>
              <w:pStyle w:val="0"/>
              <w:jc w:val="center"/>
            </w:pPr>
            <w:r>
              <w:rPr>
                <w:sz w:val="20"/>
              </w:rPr>
              <w:t xml:space="preserve">7.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Документ иностранного государства о заключении (расторжении) брака (в случае регистрации записи соответствующего акта компетентным органом иностранного государства)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заявитель, посредством представления подтверждающих документов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факте обучения по очной форме в общеобразовательной организации либо профессиональной образовательной организации или образовательной организации высшего образования - для детей, достигших 18-летнего возраста, но не более чем до достижения ими возраста 23 лет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заявитель, посредством представления подтверждающих документов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bookmarkStart w:id="352" w:name="P352"/>
          <w:bookmarkEnd w:id="352"/>
          <w:p>
            <w:pPr>
              <w:pStyle w:val="0"/>
              <w:jc w:val="center"/>
            </w:pPr>
            <w:r>
              <w:rPr>
                <w:sz w:val="20"/>
              </w:rPr>
              <w:t xml:space="preserve">9.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трудовой деятельности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Социальный фонд России, посредством автоматизированной информационной системы Социального фонда России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регистрации по месту жительства и месту пребывания гражданина Российской Федерации в пределах Российской Федерации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МВД России (ведомственная информационная система), посредством единой системы межведомственного электронного взаимодействия;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ФНС России (единый федеральный информационный регистр, содержащий сведения о населении Российской Федерации),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ранее выданных паспортах, удостоверяющих личность гражданина на территории Российской Федерации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МВД России (ведомственная информационная система), посредством единой системы межведомственного электронного взаимодействия;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ФНС России (единый федеральный информационный регистр, содержащий сведения о населении Российской Федерации),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Документ (сведения) об отнесении гражданина к отдельной категории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Социальный фонд России (Единая государственная информационная система социального обеспечения), посредством единой системы межведомственного электронного взаимодействия;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орган государственной власти субъекта Российской Федерации, орган местного самоуправления (ведомственная информационная система), посредством единой системы межведомственного электронного взаимодействия;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заявитель (в случае отсутствия сведений в Единой государственной информационной системе социального обеспечения и ведомственной информационной системе), посредством представления подтверждающих документов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13.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получении пенсии по случаю потери кормильца, по старости или по инвалидности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Социальный фонд России,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14.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Решение суда о нахождении на иждивении погибшего (умершего), за исключением нетрудоспособных членов семей погибших (умерших) из числа детей в возрасте до 18 лет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заявитель, посредством представления копии решения суда о нахождении на иждивении;</w:t>
            </w:r>
          </w:p>
          <w:p>
            <w:pPr>
              <w:pStyle w:val="0"/>
            </w:pPr>
            <w:r>
              <w:rPr>
                <w:sz w:val="20"/>
              </w:rPr>
              <w:t xml:space="preserve">с 1 января 2025 г. - суд, вынесший судебное решение,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bookmarkStart w:id="375" w:name="P375"/>
          <w:bookmarkEnd w:id="375"/>
          <w:p>
            <w:pPr>
              <w:pStyle w:val="0"/>
              <w:jc w:val="center"/>
            </w:pPr>
            <w:r>
              <w:rPr>
                <w:sz w:val="20"/>
              </w:rPr>
              <w:t xml:space="preserve">15.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об отсутствии подтвержденной вступившими в законную силу судебными актами непогашенной задолженности по оплате жилых помещений и коммунальных услуг, которая образовалась не более чем за 3 последних года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Минстрой России (государственная информационная система жилищно-коммунального хозяйства),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16.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наличии инвалидности и ее группе (при наличии)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Социальный фонд России (федеральная государственная информационная система "Федеральный реестр инвалидов"),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17.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недвижимом имуществе, содержащиеся в Едином государственном реестре недвижимости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публично-правовая компания "Роскадастр",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18.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начислениях, о произведенных платежах и характеристиках объектов жилищного фонда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Минстрой России (государственная информационная система жилищно-коммунального хозяйства), посредством единой системы межведомственного электронного взаимодействия;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заявитель (в случае отсутствия сведений в государственной информационной системе жилищно-коммунального хозяйства), посредством представления подтверждающих документов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19.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назначении меры социальной поддержки в другом субъекте Российской Федерации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Социальный фонд России (Единая государственная информационная система социального обеспечения),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(выписка) о решении органа опеки и попечительства об установлении опеки над ребенком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Социальный фонд России,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21.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реабилитации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МВД России (ведомственная информационная система),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22.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соответствии фамильно-именной группы, даты рождения, пола и СНИЛС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Социальный фонд России,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23.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лишении (ограничении, восстановлении) родительских прав, сведения об отмене ограничения родительских прав, сведения об отобрании ребенка при непосредственной угрозе его жизни или здоровью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Социальный фонд России,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</w:tcPr>
          <w:bookmarkStart w:id="403" w:name="P403"/>
          <w:bookmarkEnd w:id="403"/>
          <w:p>
            <w:pPr>
              <w:pStyle w:val="0"/>
              <w:jc w:val="center"/>
            </w:pPr>
            <w:r>
              <w:rPr>
                <w:sz w:val="20"/>
              </w:rPr>
              <w:t xml:space="preserve">24.</w:t>
            </w:r>
          </w:p>
        </w:tc>
        <w:tc>
          <w:tcPr>
            <w:tcW w:w="425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 действительности паспорта гражданина Российской Федерации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МВД России (ведомственная информационная система), посредством единой системы межведомственного электронного взаимодействия</w:t>
            </w:r>
          </w:p>
        </w:tc>
      </w:tr>
      <w:tr>
        <w:tc>
          <w:tcPr>
            <w:tcW w:w="557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25.</w:t>
            </w:r>
          </w:p>
        </w:tc>
        <w:tc>
          <w:tcPr>
            <w:tcW w:w="425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Документ, подтверждающий полномочие представителя заявителя (в случае подачи заявления представителем заявителя)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представитель заявителя, посредством представления подтверждающих документов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3</w:t>
      </w:r>
    </w:p>
    <w:p>
      <w:pPr>
        <w:pStyle w:val="0"/>
        <w:jc w:val="right"/>
      </w:pPr>
      <w:r>
        <w:rPr>
          <w:sz w:val="20"/>
        </w:rPr>
        <w:t xml:space="preserve">к единому стандарту предоставления</w:t>
      </w:r>
    </w:p>
    <w:p>
      <w:pPr>
        <w:pStyle w:val="0"/>
        <w:jc w:val="right"/>
      </w:pPr>
      <w:r>
        <w:rPr>
          <w:sz w:val="20"/>
        </w:rPr>
        <w:t xml:space="preserve">компенсации расходов на оплату жилого</w:t>
      </w:r>
    </w:p>
    <w:p>
      <w:pPr>
        <w:pStyle w:val="0"/>
        <w:jc w:val="right"/>
      </w:pPr>
      <w:r>
        <w:rPr>
          <w:sz w:val="20"/>
        </w:rPr>
        <w:t xml:space="preserve">помещения и коммунальных услуг</w:t>
      </w:r>
    </w:p>
    <w:p>
      <w:pPr>
        <w:pStyle w:val="0"/>
        <w:jc w:val="right"/>
      </w:pPr>
      <w:r>
        <w:rPr>
          <w:sz w:val="20"/>
        </w:rPr>
        <w:t xml:space="preserve">отдельным категориям граждан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(рекомендуемая форма)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50"/>
      </w:tblGrid>
      <w:tr>
        <w:tc>
          <w:tcPr>
            <w:tcW w:w="9050" w:type="dxa"/>
            <w:tcBorders>
              <w:top w:val="nil"/>
              <w:left w:val="nil"/>
              <w:bottom w:val="nil"/>
              <w:right w:val="nil"/>
            </w:tcBorders>
          </w:tcPr>
          <w:bookmarkStart w:id="422" w:name="P422"/>
          <w:bookmarkEnd w:id="422"/>
          <w:p>
            <w:pPr>
              <w:pStyle w:val="0"/>
              <w:jc w:val="center"/>
            </w:pPr>
            <w:r>
              <w:rPr>
                <w:sz w:val="20"/>
              </w:rPr>
              <w:t xml:space="preserve">РЕШЕНИЕ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 предоставлении компенсации расходов на оплату жилого помещения и коммунальных услуг отдельным категориям граждан</w:t>
            </w:r>
          </w:p>
        </w:tc>
      </w:tr>
      <w:tr>
        <w:tc>
          <w:tcPr>
            <w:tcW w:w="905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single" w:sz="4"/>
          </w:tblBorders>
        </w:tblPrEx>
        <w:tc>
          <w:tcPr>
            <w:tcW w:w="905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уполномоченного на принятие решения)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125"/>
        <w:gridCol w:w="4930"/>
      </w:tblGrid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Кому</w:t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наличии), адрес)</w:t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регистрации по месту жительства (месту пребывания)</w:t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Контактные данные</w:t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(телефон, электронная почта)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50"/>
      </w:tblGrid>
      <w:tr>
        <w:tc>
          <w:tcPr>
            <w:tcW w:w="9050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____________ от ________________</w:t>
            </w:r>
          </w:p>
        </w:tc>
      </w:tr>
      <w:tr>
        <w:tc>
          <w:tcPr>
            <w:tcW w:w="905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По результатам рассмотрения заявления о компенсации расходов на оплату жилого помещения и коммунальных услуг N ___________ от _____________ и прилагаемых к нему документов (сведений) принято решение о предоставлении компенсации расходов на оплату жилого помещения и коммунальных услуг гражданину (гражданке) _________________________________________________________________________, дата рождения ______________.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388"/>
        <w:gridCol w:w="1829"/>
        <w:gridCol w:w="1272"/>
        <w:gridCol w:w="2862"/>
        <w:gridCol w:w="1699"/>
      </w:tblGrid>
      <w:tr>
        <w:tc>
          <w:tcPr>
            <w:tcW w:w="138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Категория</w:t>
            </w:r>
          </w:p>
        </w:tc>
        <w:tc>
          <w:tcPr>
            <w:tcW w:w="182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Мера социальной поддержки</w:t>
            </w:r>
          </w:p>
        </w:tc>
        <w:tc>
          <w:tcPr>
            <w:tcW w:w="127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Тип выплаты</w:t>
            </w:r>
          </w:p>
        </w:tc>
        <w:tc>
          <w:tcPr>
            <w:tcW w:w="2862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Период предоставления меры социальной поддержки</w:t>
            </w:r>
          </w:p>
        </w:tc>
        <w:tc>
          <w:tcPr>
            <w:tcW w:w="169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Размер компенсации</w:t>
            </w:r>
          </w:p>
        </w:tc>
      </w:tr>
      <w:tr>
        <w:tc>
          <w:tcPr>
            <w:tcW w:w="138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2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27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862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69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right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139"/>
        <w:gridCol w:w="1035"/>
        <w:gridCol w:w="3855"/>
      </w:tblGrid>
      <w:tr>
        <w:tc>
          <w:tcPr>
            <w:tcW w:w="413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Должность сотрудника органа, уполномоченного на принятие решения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855" w:type="dxa"/>
            <w:tcBorders>
              <w:top w:val="single" w:sz="4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Сведения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об электронной подписи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4</w:t>
      </w:r>
    </w:p>
    <w:p>
      <w:pPr>
        <w:pStyle w:val="0"/>
        <w:jc w:val="right"/>
      </w:pPr>
      <w:r>
        <w:rPr>
          <w:sz w:val="20"/>
        </w:rPr>
        <w:t xml:space="preserve">к единому стандарту предоставления</w:t>
      </w:r>
    </w:p>
    <w:p>
      <w:pPr>
        <w:pStyle w:val="0"/>
        <w:jc w:val="right"/>
      </w:pPr>
      <w:r>
        <w:rPr>
          <w:sz w:val="20"/>
        </w:rPr>
        <w:t xml:space="preserve">компенсации расходов на оплату жилого</w:t>
      </w:r>
    </w:p>
    <w:p>
      <w:pPr>
        <w:pStyle w:val="0"/>
        <w:jc w:val="right"/>
      </w:pPr>
      <w:r>
        <w:rPr>
          <w:sz w:val="20"/>
        </w:rPr>
        <w:t xml:space="preserve">помещения и коммунальных услуг</w:t>
      </w:r>
    </w:p>
    <w:p>
      <w:pPr>
        <w:pStyle w:val="0"/>
        <w:jc w:val="right"/>
      </w:pPr>
      <w:r>
        <w:rPr>
          <w:sz w:val="20"/>
        </w:rPr>
        <w:t xml:space="preserve">отдельным категориям граждан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(рекомендуемая форма)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62"/>
      </w:tblGrid>
      <w:tr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bookmarkStart w:id="475" w:name="P475"/>
          <w:bookmarkEnd w:id="475"/>
          <w:p>
            <w:pPr>
              <w:pStyle w:val="0"/>
              <w:jc w:val="center"/>
            </w:pPr>
            <w:r>
              <w:rPr>
                <w:sz w:val="20"/>
              </w:rPr>
              <w:t xml:space="preserve">РЕШЕНИЕ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об отказе в предоставлении компенсации расходов на оплату жилого помещения и коммунальных услуг отдельным категориям граждан</w:t>
            </w:r>
          </w:p>
        </w:tc>
      </w:tr>
      <w:tr>
        <w:tc>
          <w:tcPr>
            <w:tcW w:w="906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single" w:sz="4"/>
          </w:tblBorders>
        </w:tblPrEx>
        <w:tc>
          <w:tcPr>
            <w:tcW w:w="9062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(наименование органа, уполномоченного на принятие решения)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125"/>
        <w:gridCol w:w="4930"/>
      </w:tblGrid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Кому</w:t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наличии), адрес)</w:t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(адрес регистрации по месту жительства (месту пребывания)</w:t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Контактные данные</w:t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12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93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(телефон, электронная почта)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50"/>
      </w:tblGrid>
      <w:tr>
        <w:tc>
          <w:tcPr>
            <w:tcW w:w="9050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____________ от ________________</w:t>
            </w:r>
          </w:p>
        </w:tc>
      </w:tr>
      <w:tr>
        <w:tc>
          <w:tcPr>
            <w:tcW w:w="905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По результатам рассмотрения заявления о компенсации расходов на оплату жилого помещения и коммунальных услуг N ________________ от __________________ и прилагаемых к нему документов (сведений) принято решение об отказе в предоставлении компенсации расходов на оплату жилого помещения и коммунальных услуг по следующим основаниям ____________________________________________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_________________________________________________________________________.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8749"/>
        <w:gridCol w:w="340"/>
      </w:tblGrid>
      <w:tr>
        <w:tc>
          <w:tcPr>
            <w:gridSpan w:val="2"/>
            <w:tcW w:w="9089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Разъяснение причин отказа</w:t>
            </w:r>
          </w:p>
        </w:tc>
      </w:tr>
      <w:tr>
        <w:tc>
          <w:tcPr>
            <w:gridSpan w:val="2"/>
            <w:tcW w:w="9089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single" w:sz="4"/>
          </w:tblBorders>
        </w:tblPrEx>
        <w:tc>
          <w:tcPr>
            <w:tcW w:w="8749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  <w:tr>
        <w:tc>
          <w:tcPr>
            <w:gridSpan w:val="2"/>
            <w:tcW w:w="90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Вы вправе повторно обратиться в уполномоченный орган с заявлением о компенсации расходов на оплату жилого помещения и коммунальных услуг после устранения указанных нарушений.</w:t>
            </w:r>
          </w:p>
          <w:p>
            <w:pPr>
              <w:pStyle w:val="0"/>
              <w:ind w:firstLine="283"/>
              <w:jc w:val="both"/>
            </w:pPr>
            <w:r>
              <w:rPr>
                <w:sz w:val="20"/>
              </w:rPr>
              <w:t xml:space="preserve">Такой отказ может быть обжалован в досудебном порядке путем направления жалобы в уполномоченный орган, а также в судебном порядке.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right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139"/>
        <w:gridCol w:w="1035"/>
        <w:gridCol w:w="3855"/>
      </w:tblGrid>
      <w:tr>
        <w:tc>
          <w:tcPr>
            <w:tcW w:w="413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Должность сотрудника органа, уполномоченного на принятие решения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855" w:type="dxa"/>
            <w:tcBorders>
              <w:top w:val="single" w:sz="4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Сведения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об электронной подписи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РФ от 27.05.2023 N 835</w:t>
            <w:br/>
            <w:t>(ред. от 01.07.2024)</w:t>
            <w:br/>
            <w:t>"Об утверждении единого стандарта предоставления...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20.12.2024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480259&amp;dst=100005" TargetMode = "External"/>
	<Relationship Id="rId8" Type="http://schemas.openxmlformats.org/officeDocument/2006/relationships/hyperlink" Target="https://login.consultant.ru/link/?req=doc&amp;base=LAW&amp;n=466787&amp;dst=1095" TargetMode = "External"/>
	<Relationship Id="rId9" Type="http://schemas.openxmlformats.org/officeDocument/2006/relationships/hyperlink" Target="https://login.consultant.ru/link/?req=doc&amp;base=LAW&amp;n=480259&amp;dst=100005" TargetMode = "External"/>
	<Relationship Id="rId10" Type="http://schemas.openxmlformats.org/officeDocument/2006/relationships/hyperlink" Target="https://login.consultant.ru/link/?req=doc&amp;base=LAW&amp;n=480453" TargetMode = "External"/>
	<Relationship Id="rId11" Type="http://schemas.openxmlformats.org/officeDocument/2006/relationships/hyperlink" Target="https://login.consultant.ru/link/?req=doc&amp;base=LAW&amp;n=493206&amp;dst=100094" TargetMode = "External"/>
	<Relationship Id="rId12" Type="http://schemas.openxmlformats.org/officeDocument/2006/relationships/hyperlink" Target="https://login.consultant.ru/link/?req=doc&amp;base=LAW&amp;n=493206&amp;dst=100096" TargetMode = "External"/>
	<Relationship Id="rId13" Type="http://schemas.openxmlformats.org/officeDocument/2006/relationships/hyperlink" Target="https://login.consultant.ru/link/?req=doc&amp;base=LAW&amp;n=480259&amp;dst=100010" TargetMode = "External"/>
	<Relationship Id="rId14" Type="http://schemas.openxmlformats.org/officeDocument/2006/relationships/hyperlink" Target="https://login.consultant.ru/link/?req=doc&amp;base=LAW&amp;n=465729" TargetMode = "External"/>
	<Relationship Id="rId15" Type="http://schemas.openxmlformats.org/officeDocument/2006/relationships/hyperlink" Target="https://login.consultant.ru/link/?req=doc&amp;base=LAW&amp;n=480259&amp;dst=100011" TargetMode = "External"/>
	<Relationship Id="rId16" Type="http://schemas.openxmlformats.org/officeDocument/2006/relationships/hyperlink" Target="https://login.consultant.ru/link/?req=doc&amp;base=LAW&amp;n=480259&amp;dst=100012" TargetMode = "External"/>
	<Relationship Id="rId17" Type="http://schemas.openxmlformats.org/officeDocument/2006/relationships/hyperlink" Target="https://login.consultant.ru/link/?req=doc&amp;base=LAW&amp;n=477414" TargetMode = "External"/>
	<Relationship Id="rId18" Type="http://schemas.openxmlformats.org/officeDocument/2006/relationships/hyperlink" Target="https://login.consultant.ru/link/?req=doc&amp;base=LAW&amp;n=491418" TargetMode = "External"/>
	<Relationship Id="rId19" Type="http://schemas.openxmlformats.org/officeDocument/2006/relationships/hyperlink" Target="https://login.consultant.ru/link/?req=doc&amp;base=LAW&amp;n=482686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4024.00.51</Application>
  <Company>КонсультантПлюс Версия 4024.00.51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27.05.2023 N 835
(ред. от 01.07.2024)
"Об утверждении единого стандарта предоставления компенсации расходов на оплату жилого помещения и коммунальных услуг отдельным категориям граждан"
(с изм. и доп., вступ. в силу с 01.11.2024)</dc:title>
  <dcterms:created xsi:type="dcterms:W3CDTF">2024-12-20T05:37:40Z</dcterms:created>
</cp:coreProperties>
</file>