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C9" w:rsidRPr="00992AC9" w:rsidRDefault="00992AC9" w:rsidP="00992AC9">
      <w:pPr>
        <w:spacing w:line="276" w:lineRule="auto"/>
        <w:ind w:firstLine="567"/>
        <w:jc w:val="center"/>
        <w:rPr>
          <w:rFonts w:ascii="Times New Roman" w:eastAsia="Courier New" w:hAnsi="Times New Roman" w:cs="Times New Roman"/>
          <w:b/>
          <w:sz w:val="24"/>
          <w:shd w:val="clear" w:color="auto" w:fill="FFFFFF"/>
        </w:rPr>
      </w:pPr>
      <w:r w:rsidRPr="00992AC9">
        <w:rPr>
          <w:rFonts w:ascii="Times New Roman" w:eastAsia="Courier New" w:hAnsi="Times New Roman" w:cs="Times New Roman"/>
          <w:b/>
          <w:sz w:val="24"/>
          <w:shd w:val="clear" w:color="auto" w:fill="FFFFFF"/>
        </w:rPr>
        <w:t>Сведения об использовании бюджетных средств за 2016 год</w:t>
      </w:r>
    </w:p>
    <w:p w:rsidR="00992AC9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4"/>
          <w:shd w:val="clear" w:color="auto" w:fill="FFFFFF"/>
        </w:rPr>
      </w:pPr>
      <w:bookmarkStart w:id="0" w:name="_GoBack"/>
      <w:bookmarkEnd w:id="0"/>
    </w:p>
    <w:p w:rsidR="00992AC9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4"/>
          <w:shd w:val="clear" w:color="auto" w:fill="FFFFFF"/>
        </w:rPr>
      </w:pPr>
      <w:r w:rsidRPr="000A2B0B">
        <w:rPr>
          <w:rFonts w:ascii="Times New Roman" w:eastAsia="Courier New" w:hAnsi="Times New Roman" w:cs="Times New Roman"/>
          <w:sz w:val="24"/>
          <w:shd w:val="clear" w:color="auto" w:fill="FFFFFF"/>
        </w:rPr>
        <w:t>По итогам 2016 года наибольший удельный вес в структуре расходов бюджета занимают расходы по разделу «Образование» 57,7%, «Жилищно-коммунальное хозяйство» - 14,16%, «Общегосударственные вопросы» - 12,8%.</w:t>
      </w:r>
    </w:p>
    <w:p w:rsidR="00992AC9" w:rsidRPr="006C6AF0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16"/>
          <w:szCs w:val="16"/>
        </w:rPr>
      </w:pPr>
    </w:p>
    <w:tbl>
      <w:tblPr>
        <w:tblStyle w:val="1"/>
        <w:tblW w:w="0" w:type="auto"/>
        <w:tblInd w:w="-79" w:type="dxa"/>
        <w:tblBorders>
          <w:top w:val="none" w:sz="24" w:space="0" w:color="000000"/>
          <w:left w:val="none" w:sz="24" w:space="0" w:color="000000"/>
          <w:bottom w:val="none" w:sz="24" w:space="0" w:color="000000"/>
          <w:right w:val="none" w:sz="24" w:space="0" w:color="000000"/>
          <w:insideH w:val="none" w:sz="24" w:space="0" w:color="000000"/>
          <w:insideV w:val="none" w:sz="2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969"/>
        <w:gridCol w:w="1218"/>
        <w:gridCol w:w="1315"/>
        <w:gridCol w:w="26"/>
        <w:gridCol w:w="1273"/>
        <w:gridCol w:w="1179"/>
        <w:gridCol w:w="1220"/>
      </w:tblGrid>
      <w:tr w:rsidR="00992AC9" w:rsidRPr="000A2B0B" w:rsidTr="00F5584B">
        <w:trPr>
          <w:trHeight w:val="1040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Раздел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План, сумма</w:t>
            </w:r>
          </w:p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Исполнение по разделу</w:t>
            </w:r>
          </w:p>
        </w:tc>
        <w:tc>
          <w:tcPr>
            <w:tcW w:w="1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  <w:sz w:val="18"/>
              </w:rPr>
              <w:t>% исполнения к плану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6"/>
              </w:rPr>
              <w:t>ПЛАН</w:t>
            </w:r>
          </w:p>
          <w:p w:rsidR="00992AC9" w:rsidRPr="000A2B0B" w:rsidRDefault="00992AC9" w:rsidP="00F5584B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6"/>
              </w:rPr>
              <w:t>Удельный вес к плану</w:t>
            </w:r>
          </w:p>
          <w:p w:rsidR="00992AC9" w:rsidRPr="000A2B0B" w:rsidRDefault="00992AC9" w:rsidP="00F5584B">
            <w:pPr>
              <w:spacing w:line="276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6"/>
              </w:rPr>
              <w:t>443 592,4 тыс. руб</w:t>
            </w:r>
            <w:proofErr w:type="gramStart"/>
            <w:r w:rsidRPr="000A2B0B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6"/>
              </w:rPr>
              <w:t>ФАКТ</w:t>
            </w:r>
          </w:p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6"/>
              </w:rPr>
              <w:t>Удельный вес к исполнению 397 498,8 тыс. руб</w:t>
            </w:r>
            <w:proofErr w:type="gramStart"/>
            <w:r w:rsidRPr="000A2B0B">
              <w:rPr>
                <w:rFonts w:ascii="Times New Roman" w:eastAsia="Times New Roman" w:hAnsi="Times New Roman" w:cs="Times New Roman"/>
                <w:sz w:val="16"/>
              </w:rPr>
              <w:t>. (%)</w:t>
            </w:r>
            <w:proofErr w:type="gramEnd"/>
          </w:p>
        </w:tc>
      </w:tr>
      <w:tr w:rsidR="00992AC9" w:rsidRPr="000A2B0B" w:rsidTr="00F5584B">
        <w:trPr>
          <w:trHeight w:val="62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53 391,7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50 825,1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95,2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12,04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12,8</w:t>
            </w:r>
          </w:p>
        </w:tc>
      </w:tr>
      <w:tr w:rsidR="00992AC9" w:rsidRPr="000A2B0B" w:rsidTr="00F5584B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212,6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183,1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86,1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992AC9" w:rsidRPr="000A2B0B" w:rsidTr="00F5584B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0300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7 299,6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6 339,4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86,8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992AC9" w:rsidRPr="000A2B0B" w:rsidTr="00F5584B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11 563,4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11 179,1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96,7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992AC9" w:rsidRPr="000A2B0B" w:rsidTr="00F5584B">
        <w:trPr>
          <w:trHeight w:val="61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91 447,7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56 270,3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61,5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20,61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14,16</w:t>
            </w:r>
          </w:p>
        </w:tc>
      </w:tr>
      <w:tr w:rsidR="00992AC9" w:rsidRPr="000A2B0B" w:rsidTr="00F5584B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0700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233 969,9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229 297,6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98,0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57,7</w:t>
            </w:r>
          </w:p>
        </w:tc>
      </w:tr>
      <w:tr w:rsidR="00992AC9" w:rsidRPr="000A2B0B" w:rsidTr="00F5584B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26 556,1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26 530,1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99,9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6,1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6,7</w:t>
            </w:r>
          </w:p>
        </w:tc>
      </w:tr>
      <w:tr w:rsidR="00992AC9" w:rsidRPr="000A2B0B" w:rsidTr="00F5584B">
        <w:trPr>
          <w:trHeight w:val="582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0900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490,5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362,8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74,0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992AC9" w:rsidRPr="000A2B0B" w:rsidTr="00F5584B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18 185,9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16 075,5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88,4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992AC9" w:rsidRPr="000A2B0B" w:rsidTr="00F5584B"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1100</w:t>
            </w:r>
          </w:p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475,0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435,8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</w:rPr>
              <w:t>91,7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992AC9" w:rsidRPr="000A2B0B" w:rsidTr="00F5584B">
        <w:trPr>
          <w:trHeight w:val="357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443 592,4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397 498,8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89,6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AC9" w:rsidRPr="000A2B0B" w:rsidRDefault="00992AC9" w:rsidP="00F5584B">
            <w:pPr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A2B0B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100</w:t>
            </w:r>
          </w:p>
        </w:tc>
      </w:tr>
    </w:tbl>
    <w:p w:rsidR="00992AC9" w:rsidRPr="004B6C55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sz w:val="20"/>
        </w:rPr>
      </w:pPr>
    </w:p>
    <w:p w:rsidR="00992AC9" w:rsidRPr="006C6AF0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</w:rPr>
      </w:pPr>
      <w:r w:rsidRPr="006C6AF0">
        <w:rPr>
          <w:rFonts w:ascii="Times New Roman" w:eastAsia="Courier New" w:hAnsi="Times New Roman" w:cs="Times New Roman"/>
          <w:b/>
          <w:sz w:val="24"/>
        </w:rPr>
        <w:t>Исполнение бюджета по итогам 2016 года должно составлять 95% от утвержденных назначений. Фактическое исполнение:</w:t>
      </w:r>
    </w:p>
    <w:p w:rsidR="00992AC9" w:rsidRPr="000A2B0B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A2B0B">
        <w:rPr>
          <w:rFonts w:ascii="Times New Roman" w:eastAsia="Courier New" w:hAnsi="Times New Roman" w:cs="Times New Roman"/>
          <w:sz w:val="24"/>
        </w:rPr>
        <w:t>по доходам – 105,8%,</w:t>
      </w:r>
    </w:p>
    <w:p w:rsidR="00992AC9" w:rsidRPr="000A2B0B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A2B0B">
        <w:rPr>
          <w:rFonts w:ascii="Times New Roman" w:eastAsia="Courier New" w:hAnsi="Times New Roman" w:cs="Times New Roman"/>
          <w:sz w:val="24"/>
        </w:rPr>
        <w:t>по расходам– 89,6%, что ниже нормы.</w:t>
      </w:r>
    </w:p>
    <w:p w:rsidR="00992AC9" w:rsidRPr="006C6AF0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  <w:b/>
        </w:rPr>
      </w:pPr>
      <w:r w:rsidRPr="006C6AF0">
        <w:rPr>
          <w:rFonts w:ascii="Times New Roman" w:eastAsia="Courier New" w:hAnsi="Times New Roman" w:cs="Times New Roman"/>
          <w:b/>
          <w:sz w:val="24"/>
        </w:rPr>
        <w:t>Основными причинами низкого исполнения бюджета является:</w:t>
      </w:r>
    </w:p>
    <w:p w:rsidR="00992AC9" w:rsidRPr="000A2B0B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A2B0B">
        <w:rPr>
          <w:rFonts w:ascii="Times New Roman" w:eastAsia="Courier New" w:hAnsi="Times New Roman" w:cs="Times New Roman"/>
          <w:sz w:val="24"/>
        </w:rPr>
        <w:t>- по разделу 0200 «Национальная оборона» основная часть расходов произведена на выплату заработной платы, оплата производится по факту;</w:t>
      </w:r>
    </w:p>
    <w:p w:rsidR="00992AC9" w:rsidRPr="000A2B0B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A2B0B">
        <w:rPr>
          <w:rFonts w:ascii="Times New Roman" w:eastAsia="Courier New" w:hAnsi="Times New Roman" w:cs="Times New Roman"/>
          <w:sz w:val="24"/>
        </w:rPr>
        <w:t>- по разделу 0300 «Национальная безопасность и правоохранительная деятельность» подпрограмма «Обеспечение пожарной безопасности» - длительность проведения конкурсных процедур;</w:t>
      </w:r>
    </w:p>
    <w:p w:rsidR="00992AC9" w:rsidRPr="000A2B0B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A2B0B">
        <w:rPr>
          <w:rFonts w:ascii="Times New Roman" w:eastAsia="Courier New" w:hAnsi="Times New Roman" w:cs="Times New Roman"/>
          <w:sz w:val="24"/>
        </w:rPr>
        <w:t xml:space="preserve">- по разделу 0500 «Жилищно-коммунальное хозяйство» на низкий процент исполнения влияет отсутствие исполнения очистных сооружений. </w:t>
      </w:r>
      <w:proofErr w:type="gramStart"/>
      <w:r w:rsidRPr="000A2B0B">
        <w:rPr>
          <w:rFonts w:ascii="Times New Roman" w:eastAsia="Courier New" w:hAnsi="Times New Roman" w:cs="Times New Roman"/>
          <w:sz w:val="24"/>
        </w:rPr>
        <w:t xml:space="preserve">В соответствии с предписание выданным Департаментом государственного жилищного и строительного надзора Свердловской области от 23.11.2015 года № 171/15 проведение работ по </w:t>
      </w:r>
      <w:r w:rsidRPr="000A2B0B">
        <w:rPr>
          <w:rFonts w:ascii="Times New Roman" w:eastAsia="Courier New" w:hAnsi="Times New Roman" w:cs="Times New Roman"/>
          <w:sz w:val="24"/>
        </w:rPr>
        <w:lastRenderedPageBreak/>
        <w:t>строительству очистных сооружений было приостановлено до проведения технического обследования состояния объекта капитального строительства, был проведен электронный аукцион и определена подрядная организация для проведения работ по экспертизе строительных конструкций очистных сооружений, по результатам которой определены виды работ, которые необходимо произвести</w:t>
      </w:r>
      <w:proofErr w:type="gramEnd"/>
      <w:r w:rsidRPr="000A2B0B">
        <w:rPr>
          <w:rFonts w:ascii="Times New Roman" w:eastAsia="Courier New" w:hAnsi="Times New Roman" w:cs="Times New Roman"/>
          <w:sz w:val="24"/>
        </w:rPr>
        <w:t xml:space="preserve">. Имеющийся объем финансирования с учетом остатков прошлых лет составляет 29 150,3 тыс. рублей данный объем не позволяет заказчику </w:t>
      </w:r>
      <w:proofErr w:type="spellStart"/>
      <w:r w:rsidRPr="000A2B0B">
        <w:rPr>
          <w:rFonts w:ascii="Times New Roman" w:eastAsia="Courier New" w:hAnsi="Times New Roman" w:cs="Times New Roman"/>
          <w:sz w:val="24"/>
        </w:rPr>
        <w:t>единократно</w:t>
      </w:r>
      <w:proofErr w:type="spellEnd"/>
      <w:r w:rsidRPr="000A2B0B">
        <w:rPr>
          <w:rFonts w:ascii="Times New Roman" w:eastAsia="Courier New" w:hAnsi="Times New Roman" w:cs="Times New Roman"/>
          <w:sz w:val="24"/>
        </w:rPr>
        <w:t xml:space="preserve"> закупить комплексное проектное решение, заменяя приобретение по частям эквивалентов оборудования от разных производителей, без гарантии стыковки этих частей в единый эффективный производственный комплекс. Необходима комплексная поставка оборудования (за время аукционных торгов по строительству очистных сооружений по поставке необходимого оборудования, сменилось пять подрядных организаций);</w:t>
      </w:r>
    </w:p>
    <w:p w:rsidR="00992AC9" w:rsidRPr="000A2B0B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A2B0B">
        <w:rPr>
          <w:rFonts w:ascii="Times New Roman" w:eastAsia="Courier New" w:hAnsi="Times New Roman" w:cs="Times New Roman"/>
          <w:sz w:val="24"/>
        </w:rPr>
        <w:t>- раздел 0900 «Здравоохранение» подпрограмма «Профилактика иных заболеваний и формирование здорового образа жизни» - оплата производится в соответствии с планом мероприятий;</w:t>
      </w:r>
    </w:p>
    <w:p w:rsidR="00992AC9" w:rsidRPr="000A2B0B" w:rsidRDefault="00992AC9" w:rsidP="00992AC9">
      <w:pPr>
        <w:spacing w:line="276" w:lineRule="auto"/>
        <w:ind w:firstLine="567"/>
        <w:jc w:val="both"/>
        <w:rPr>
          <w:rFonts w:ascii="Times New Roman" w:eastAsia="Courier New" w:hAnsi="Times New Roman" w:cs="Times New Roman"/>
        </w:rPr>
      </w:pPr>
      <w:r w:rsidRPr="000A2B0B">
        <w:rPr>
          <w:rFonts w:ascii="Times New Roman" w:eastAsia="Courier New" w:hAnsi="Times New Roman" w:cs="Times New Roman"/>
          <w:sz w:val="24"/>
        </w:rPr>
        <w:t>- раздел 1000 «Социальная политика» - оплата производится по фактически представленным документам.</w:t>
      </w: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C9"/>
    <w:rsid w:val="00992AC9"/>
    <w:rsid w:val="009E0B74"/>
    <w:rsid w:val="009E1090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C9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992AC9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C9"/>
    <w:pPr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rsid w:val="00992AC9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2018-03-30T06:16:00Z</dcterms:created>
  <dcterms:modified xsi:type="dcterms:W3CDTF">2018-03-30T06:16:00Z</dcterms:modified>
</cp:coreProperties>
</file>