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«15» февраля 2023 года №_61_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«Обеспечение жильем молодых семей на территории</w:t>
        <w:br/>
        <w:t>городского округа ЗАТО Свободный на 2023-2030 годы», утвержденную постановлением администрации от 31.08.2022 № 486</w:t>
      </w:r>
    </w:p>
    <w:p>
      <w:pPr>
        <w:pStyle w:val="Normal"/>
        <w:ind w:right="-121"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lineRule="auto" w:line="240" w:before="28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ab/>
        <w:t xml:space="preserve">В соответствии с </w:t>
      </w:r>
      <w:r>
        <w:rPr>
          <w:rFonts w:cs="Liberation Serif" w:ascii="Liberation Serif" w:hAnsi="Liberation Serif"/>
          <w:sz w:val="28"/>
          <w:szCs w:val="28"/>
        </w:rPr>
        <w:t>Постановлением Правительства Свердловской области</w:t>
        <w:br/>
        <w:t>от 16.12.2022 № 2331 «О внесении изменений в некоторые акты Правительства Российской Федерации», с</w:t>
      </w:r>
      <w:r>
        <w:rPr>
          <w:rFonts w:ascii="Liberation Serif" w:hAnsi="Liberation Serif"/>
          <w:bCs/>
          <w:sz w:val="28"/>
          <w:szCs w:val="28"/>
        </w:rPr>
        <w:t xml:space="preserve">о статьей 101 Областного закона от 10 марта 1999 года </w:t>
        <w:br/>
        <w:t>№ 4-ОЗ «О правовых актах в Свердловской области», с приказом Министерства строительства и развития инфраструктуры Свердловской области от 01.12.2022</w:t>
        <w:br/>
        <w:t>№ 565-П «Об утверждении списка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2023 году по Свердловской области», на основании решения Думы городского округа ЗАТО Свободный от 08.02.2023 № 19/4 «О внесении изменений в решение Думы городского округа от 21.12.2022 № 18/4 «Об утверждении бюджета городского округа ЗАТО Свободный  на 2023 год и плановый период 2024 и 2025 годов», руководствуясь Уставом городского округа ЗАТО Свободный,</w:t>
      </w:r>
    </w:p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в муниципальную программу «Обеспечение жильем молодых семей на территории городского округа ЗАТО Свободный на 2023-2030 годы», утвержденную постановлением администрации городского округа</w:t>
        <w:br/>
        <w:t xml:space="preserve">ЗАТО Свободный от 31.08.2022 № 486 </w:t>
      </w:r>
      <w:r>
        <w:rPr>
          <w:rFonts w:cs="Liberation Serif" w:ascii="Liberation Serif" w:hAnsi="Liberation Serif"/>
          <w:bCs/>
          <w:sz w:val="28"/>
          <w:szCs w:val="28"/>
        </w:rPr>
        <w:t>следующие изменения: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1.1. В паспорте муниципальной программы в таблице строку «Объёмы финансирования муниципальной программы по годам реализации, в тыс. рублей» изложить в следующей редакции: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sz w:val="20"/>
          <w:szCs w:val="20"/>
          <w:lang w:eastAsia="en-US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08"/>
        <w:gridCol w:w="5672"/>
      </w:tblGrid>
      <w:tr>
        <w:trPr>
          <w:trHeight w:val="406" w:hRule="atLeast"/>
        </w:trPr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ВСЕГО: 11 369,776 тыс. руб.,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(по годам реализации):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5 546,231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831,935 тыс. руб.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6 378,168 тыс. руб.,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(по годам реализации):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554,623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831,935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831,935 тыс. руб.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1 255, 196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(по годам реализации):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1 255, 196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 408,673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408,673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3 327,739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3 327,739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</w:t>
            </w:r>
          </w:p>
        </w:tc>
      </w:tr>
      <w:tr>
        <w:trPr>
          <w:trHeight w:val="406" w:hRule="atLeast"/>
        </w:trPr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Адрес размещения</w:t>
              <w:br/>
              <w:t>Программы в сети Интернет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Style w:val="Style18"/>
                <w:bCs/>
                <w:sz w:val="28"/>
                <w:szCs w:val="28"/>
                <w:lang w:val="de-DE"/>
              </w:rPr>
            </w:pPr>
            <w:hyperlink r:id="rId2">
              <w:r>
                <w:rPr>
                  <w:rFonts w:cs="Liberation Serif" w:ascii="Liberation Serif" w:hAnsi="Liberation Serif"/>
                  <w:bCs/>
                  <w:sz w:val="28"/>
                  <w:szCs w:val="28"/>
                  <w:lang w:val="de-DE"/>
                </w:rPr>
                <w:t>www.адм-затосвободный.рф/обеспечение жильем/</w:t>
              </w:r>
            </w:hyperlink>
            <w:r>
              <w:rPr>
                <w:rStyle w:val="Style18"/>
                <w:sz w:val="28"/>
                <w:szCs w:val="28"/>
                <w:lang w:val="de-DE"/>
              </w:rPr>
              <w:t xml:space="preserve"> обеспечение жильем молодых семей/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1.2. </w:t>
      </w:r>
      <w:r>
        <w:rPr>
          <w:rFonts w:cs="Liberation Serif" w:ascii="Liberation Serif" w:hAnsi="Liberation Serif"/>
          <w:sz w:val="28"/>
          <w:szCs w:val="28"/>
        </w:rPr>
        <w:t>Приложение № 1 к муниципальной программе «Обеспечение жильем молодых семей на территории городского округа ЗАТО Свободный</w:t>
        <w:br/>
        <w:t xml:space="preserve">на 2023-2030 годы» изложить в новой редакции (прилагается). 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1.3. </w:t>
      </w:r>
      <w:r>
        <w:rPr>
          <w:rFonts w:cs="Liberation Serif" w:ascii="Liberation Serif" w:hAnsi="Liberation Serif"/>
          <w:sz w:val="28"/>
          <w:szCs w:val="28"/>
        </w:rPr>
        <w:t>Приложение № 2 к муниципальной программе «Обеспечение жильем молодых семей на территории городского округа ЗАТО Свободный</w:t>
        <w:br/>
        <w:t xml:space="preserve">на 2023-2030 годы» изложить в новой редакции (прилагается). 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1.4. Приложение № 3 к муниципальной программе «Обеспечение жильем молодых семей на территории городского округа ЗАТО Свободный</w:t>
        <w:br/>
        <w:t xml:space="preserve">на 2023-2030 годы» изложить в новой редакции (прилагается). </w:t>
      </w:r>
    </w:p>
    <w:p>
      <w:pPr>
        <w:pStyle w:val="Normal"/>
        <w:suppressAutoHyphens w:val="false"/>
        <w:spacing w:before="0" w:after="200"/>
        <w:ind w:right="-2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2. Настоящее постановление опубликовать в газете «Свободные вести»</w:t>
        <w:br/>
        <w:t>и на официальном сайте администрации городского округа ЗАТО Свободный.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tabs>
          <w:tab w:val="clear" w:pos="708"/>
          <w:tab w:val="left" w:pos="7200" w:leader="none"/>
        </w:tabs>
        <w:ind w:right="-121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tabs>
          <w:tab w:val="clear" w:pos="708"/>
          <w:tab w:val="left" w:pos="7200" w:leader="none"/>
        </w:tabs>
        <w:ind w:right="-121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А.В. Иванов</w:t>
      </w:r>
    </w:p>
    <w:sectPr>
      <w:headerReference w:type="default" r:id="rId3"/>
      <w:type w:val="nextPage"/>
      <w:pgSz w:w="11906" w:h="16838"/>
      <w:pgMar w:left="1417" w:right="567" w:gutter="0" w:header="426" w:top="816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5086680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 w:customStyle="1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styleId="11" w:customStyle="1">
    <w:name w:val="Нижний колонтитул Знак1"/>
    <w:basedOn w:val="DefaultParagraphFont"/>
    <w:uiPriority w:val="99"/>
    <w:qFormat/>
    <w:rsid w:val="00d1635d"/>
    <w:rPr>
      <w:rFonts w:ascii="Times New Roman" w:hAnsi="Times New Roman"/>
      <w:sz w:val="24"/>
      <w:szCs w:val="24"/>
    </w:rPr>
  </w:style>
  <w:style w:type="character" w:styleId="Style18">
    <w:name w:val="Интернет-ссылка"/>
    <w:basedOn w:val="DefaultParagraphFont"/>
    <w:unhideWhenUsed/>
    <w:rsid w:val="00a27ead"/>
    <w:rPr>
      <w:color w:val="0000FF" w:themeColor="hyperlink"/>
      <w:u w:val="single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2d70a6"/>
    <w:pPr>
      <w:spacing w:lineRule="auto" w:line="276" w:before="0" w:after="140"/>
    </w:pPr>
    <w:rPr/>
  </w:style>
  <w:style w:type="paragraph" w:styleId="Style22">
    <w:name w:val="List"/>
    <w:basedOn w:val="Style21"/>
    <w:rsid w:val="002d70a6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51" w:customStyle="1">
    <w:name w:val="Заголовок 51"/>
    <w:basedOn w:val="Normal"/>
    <w:next w:val="Normal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" w:customStyle="1">
    <w:name w:val="Заголовок1"/>
    <w:basedOn w:val="Normal"/>
    <w:next w:val="Style21"/>
    <w:qFormat/>
    <w:rsid w:val="002d70a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2d70a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5" w:customStyle="1">
    <w:name w:val="Верхний и нижний колонтитулы"/>
    <w:basedOn w:val="Normal"/>
    <w:qFormat/>
    <w:rsid w:val="002d70a6"/>
    <w:pPr/>
    <w:rPr/>
  </w:style>
  <w:style w:type="paragraph" w:styleId="14" w:customStyle="1">
    <w:name w:val="Верх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uiPriority w:val="99"/>
    <w:rsid w:val="00e26686"/>
    <w:pPr>
      <w:ind w:firstLine="561"/>
    </w:pPr>
    <w:rPr/>
  </w:style>
  <w:style w:type="paragraph" w:styleId="Style27" w:customStyle="1">
    <w:name w:val="Знак"/>
    <w:basedOn w:val="Normal"/>
    <w:uiPriority w:val="99"/>
    <w:qFormat/>
    <w:rsid w:val="00762ca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c16b9"/>
    <w:pPr>
      <w:suppressAutoHyphens w:val="false"/>
      <w:spacing w:lineRule="auto" w:line="276" w:beforeAutospacing="1" w:after="142"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1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11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d70c3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b050d"/>
    <w:pPr>
      <w:suppressAutoHyphens w:val="false"/>
      <w:spacing w:lineRule="auto" w:line="276" w:beforeAutospacing="1" w:after="142"/>
    </w:pPr>
    <w:rPr>
      <w:color w:val="000000"/>
    </w:rPr>
  </w:style>
  <w:style w:type="paragraph" w:styleId="ConsPlusCell" w:customStyle="1">
    <w:name w:val="ConsPlusCell"/>
    <w:qFormat/>
    <w:rsid w:val="00a27ea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4513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&#1072;&#1076;&#1084;-&#1079;&#1072;&#1090;&#1086;&#1089;&#1074;&#1086;&#1073;&#1086;&#1076;&#1085;&#1099;&#1081;.&#1088;&#1092;/&#1086;&#1073;&#1077;&#1089;&#1087;&#1077;&#1095;&#1077;&#1085;&#1080;&#1077;%20&#1078;&#1080;&#1083;&#1100;&#1077;&#1084;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AB00-A887-468E-A4A6-52DD703F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5043</TotalTime>
  <Application>LibreOffice/7.3.7.2$Windows_X86_64 LibreOffice_project/e114eadc50a9ff8d8c8a0567d6da8f454beeb84f</Application>
  <AppVersion>15.0000</AppVersion>
  <DocSecurity>0</DocSecurity>
  <Pages>3</Pages>
  <Words>639</Words>
  <Characters>3724</Characters>
  <CharactersWithSpaces>4354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2016-06-29T04:35:00Z</dcterms:created>
  <dc:creator>User</dc:creator>
  <dc:description/>
  <dc:language>ru-RU</dc:language>
  <cp:lastModifiedBy/>
  <cp:lastPrinted>2023-02-15T12:26:00Z</cp:lastPrinted>
  <dcterms:modified xsi:type="dcterms:W3CDTF">2023-03-04T13:25:23Z</dcterms:modified>
  <cp:revision>278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