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F" w:rsidRDefault="0018743D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Times New Roman"/>
          <w:sz w:val="28"/>
          <w:szCs w:val="28"/>
        </w:rPr>
        <w:t>Приложение № 2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определения нормативных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</w:t>
      </w:r>
      <w:r>
        <w:rPr>
          <w:rFonts w:ascii="Liberation Serif" w:hAnsi="Liberation Serif" w:cs="Times New Roman"/>
          <w:sz w:val="28"/>
          <w:szCs w:val="28"/>
        </w:rPr>
        <w:t>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3A259F" w:rsidRDefault="003A259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НОРМАТИВЫ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ОБЕСПЕЧЕНИЯ ДЕЯТЕЛЬНОСТИ ОРГАНОВ МЕСТНОГО САМОУПРАВЛЕНИЯ И КАЗЕННЫХ УЧРЕЖДЕНИЙ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 ПРИМЕНЯЕМЫЕ ПРИ РАСЧЕТЕ НОРМАТИВНЫХ ЗАТРАТ НА ПРИОБРЕТЕНИЕ АВТОТРАНСПОРТА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2701"/>
        <w:gridCol w:w="2269"/>
        <w:gridCol w:w="2267"/>
      </w:tblGrid>
      <w:tr w:rsidR="003A259F"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Транспортное средство с персональным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закреплением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A259F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цена и мощность</w:t>
            </w:r>
          </w:p>
        </w:tc>
      </w:tr>
      <w:tr w:rsidR="003A259F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Легковой автомобиль - не более 1 единицы в расчете на высшее должностное лицо (Глава)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2,5 млн. рублей и не более 200 лошадиных сил включительно для муниципального служащего, замещающего должность руководителя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2,0 млн. рублей и не более 200 лош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адиных сил включительно</w:t>
            </w:r>
          </w:p>
        </w:tc>
      </w:tr>
      <w:tr w:rsidR="003A259F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Легковой автомобиль - не более 1 единицы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для руководителей органов местного самоуправления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2,0 млн. рублей и не более 200 лошадиных сил включительно для муниципального служащего, замещающего должность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заместителя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руководителя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3A259F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3A259F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A259F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Автобус, микроавтобус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8,0 млн. рублей и не более 200 лошадиных сил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3A259F">
            <w:pPr>
              <w:widowControl w:val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8,0 млн. рублей и не более 200 лошадиных сил включительно</w:t>
            </w:r>
          </w:p>
        </w:tc>
      </w:tr>
      <w:tr w:rsidR="003A259F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Бортовой автомобиль (ГАЗЕЛЬ)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2,0 млн. рублей и не более 150 лошадиных сил включительно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3A259F">
            <w:pPr>
              <w:widowControl w:val="0"/>
              <w:rPr>
                <w:rFonts w:ascii="Liberation Serif" w:hAnsi="Liberation Serif"/>
                <w:sz w:val="26"/>
                <w:szCs w:val="26"/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2,0 млн. рублей и не более 150 лошадиных сил включительно</w:t>
            </w:r>
          </w:p>
        </w:tc>
      </w:tr>
    </w:tbl>
    <w:p w:rsidR="003A259F" w:rsidRDefault="0018743D">
      <w:pPr>
        <w:pStyle w:val="ConsPlusNormal"/>
        <w:ind w:left="4536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4</w:t>
      </w:r>
    </w:p>
    <w:p w:rsidR="003A259F" w:rsidRDefault="0018743D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определения нормативных</w:t>
      </w:r>
    </w:p>
    <w:p w:rsidR="003A259F" w:rsidRDefault="0018743D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3A259F" w:rsidRDefault="0018743D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3A259F" w:rsidRDefault="0018743D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3A259F" w:rsidRDefault="0018743D">
      <w:pPr>
        <w:pStyle w:val="ConsPlusNormal"/>
        <w:ind w:left="453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3A259F" w:rsidRDefault="003A259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НОРМАТИВЫ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ОБЕСПЕЧЕНИЯ ДЕЯТЕЛЬНОСТИ 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КАЗЕННЫХ УЧРЕЖДЕНИЙ ГОРОДСКОГО ОКРУГА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ЗАТО СВОБОДНЫЙ, ПРИМЕНЯЕМЫЕ ПРИ РАСЧЕТЕ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НОРМАТИВНЫХ ЗАТРАТ НА ПРИОБРЕТЕНИЕ ПЛАНШЕТНЫХ КОМПЬЮТЕРОВ, ОРГТЕХНИКИ</w:t>
      </w: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542"/>
        <w:gridCol w:w="3694"/>
      </w:tblGrid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Цена приобретения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План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шетный компьютер (ноутбук)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на учреждение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60 тыс. 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Компьютер в сборе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в расчете на 1 работника, исполнение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функциональных обязанностей которого связано с ПК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70 тыс.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Сервер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орган местного самоуправления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, учреждение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110 тыс. 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Факс (факсимильный аппарат)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на учреждение (при необходимости)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20 тыс. р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Радиотелефон (телефонный аппарат)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лиц, замещающих муниципальную должность, для муниципаль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ного служащего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;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учреждение, не более 1 единицы в расчете на руководителя и работника данного учреждения, чья специфика работы носит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выездной характер (водитель, курьер и т.п.)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не более 50 тыс. 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Шредер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орган местного самоуправления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, учреждение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60 тыс. 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Диктофон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орган местного самоуправления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, учреждение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  <w:tr w:rsidR="003A25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Переплетная машина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10 тыс. рублей включительно за 1 единицу</w:t>
            </w:r>
          </w:p>
        </w:tc>
      </w:tr>
    </w:tbl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A259F" w:rsidRDefault="0018743D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 № 6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определения нормативных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 казенных </w:t>
      </w:r>
      <w:r>
        <w:rPr>
          <w:rFonts w:ascii="Liberation Serif" w:hAnsi="Liberation Serif" w:cs="Times New Roman"/>
          <w:sz w:val="28"/>
          <w:szCs w:val="28"/>
        </w:rPr>
        <w:t>учреждений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3A259F" w:rsidRDefault="003A259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НОРМАТИВЫ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ОБЕСПЕЧЕНИЯ ДЕЯТЕЛЬНОСТИ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 КАЗЕННЫХ УЧРЕЖДЕНИЙ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 ПРИМЕНЯЕМЫЕ ПРИ РАСЧЕТЕ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НОРМАТИВНЫХ ЗАТРАТ НА ПРИОБРЕТЕНИЕ МЕБЕЛИ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СИСТЕМ КОНДИЦИОНИРОВ</w:t>
      </w:r>
      <w:r>
        <w:rPr>
          <w:rFonts w:ascii="Liberation Serif" w:hAnsi="Liberation Serif" w:cs="Times New Roman"/>
          <w:sz w:val="28"/>
          <w:szCs w:val="28"/>
        </w:rPr>
        <w:t>АНИЯ</w:t>
      </w:r>
    </w:p>
    <w:p w:rsidR="003A259F" w:rsidRDefault="003A259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6"/>
        <w:gridCol w:w="4689"/>
        <w:gridCol w:w="3231"/>
      </w:tblGrid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Тип мебели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Количество мебели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Цена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B1E49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предмета мебели, системы кондиционирования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Стол офисный (в комплекте: стол рабочий - 2 шт., стол угловой, тумба - 2 шт.)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лиц, замещающих муниципальную должность, для муниципального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служащего (работника учреждения)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70,0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Стол приставной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для лиц, замещающих муниципальную должность, для муниципального служащего (работника учреждения)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20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Стол для перегов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оров (8 метров)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 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50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Стол для совещаний (10 метров)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высшее должностное лицо (Глава)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60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Стул офисный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е 1 единицы для лиц, замещающих муниципальную должность, для муниципального служащего (работника учреждения)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5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Шкаф офисный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2 единиц в расчете на 1 муниципального служащего (работника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учреждения)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 xml:space="preserve">не более 40 тыс.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Кресло руководителя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1 единицы в расчете на   руководителя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ОМС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40 тыс. руб. за 1 единицу</w:t>
            </w:r>
          </w:p>
        </w:tc>
      </w:tr>
      <w:tr w:rsidR="003A259F"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Кресло офисное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муниципального служащего (работника учреждения)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20 тыс. руб.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включительно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Стеллаж для документов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2 единиц в расчете на 1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рабочее место в служебном помещении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20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служебное помещение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40 тыс. руб. за 1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Вешалки напольные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 единицы в расчете на 1 служебное помещение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10 тыс.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Диван угловой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единицы  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орган местного самоуправления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и не более 1 единицы для приемной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в здании администрации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50 тыс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. руб. за 1 единицу</w:t>
            </w:r>
          </w:p>
        </w:tc>
      </w:tr>
      <w:tr w:rsidR="003A259F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Мебель для приемной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не более 1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комплекта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на </w:t>
            </w:r>
            <w:r>
              <w:rPr>
                <w:rFonts w:ascii="Liberation Serif" w:hAnsi="Liberation Serif" w:cs="Times New Roman"/>
                <w:sz w:val="26"/>
                <w:szCs w:val="26"/>
              </w:rPr>
              <w:t>орган местного самоуправления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не более 120 тыс. руб. за 1 единицу</w:t>
            </w:r>
          </w:p>
        </w:tc>
      </w:tr>
      <w:tr w:rsidR="003A259F">
        <w:tc>
          <w:tcPr>
            <w:tcW w:w="2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Кондиционер</w:t>
            </w:r>
          </w:p>
        </w:tc>
        <w:tc>
          <w:tcPr>
            <w:tcW w:w="4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на 1 служебное помещение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100 тыс. руб. за 1 единицу</w:t>
            </w:r>
          </w:p>
        </w:tc>
      </w:tr>
    </w:tbl>
    <w:p w:rsidR="003A259F" w:rsidRDefault="003A259F">
      <w:pPr>
        <w:sectPr w:rsidR="003A259F"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</w:p>
    <w:p w:rsidR="003A259F" w:rsidRDefault="0018743D">
      <w:pPr>
        <w:pStyle w:val="ConsPlusNormal"/>
        <w:ind w:firstLine="4678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№ 9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Методике определения нормативных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затрат на обеспечение деятельности 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органов местного самоуправления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 казенных учреждений</w:t>
      </w:r>
    </w:p>
    <w:p w:rsidR="003A259F" w:rsidRDefault="0018743D">
      <w:pPr>
        <w:pStyle w:val="ConsPlusNormal"/>
        <w:ind w:firstLine="467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3A259F" w:rsidRDefault="003A259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НОРМАТИВЫ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ОБЕСПЕЧЕНИЯ ДЕЯТЕЛЬНОСТИ ОРГАНОВ МЕСТНОГО САМОУПРАВЛЕНИЯ И КАЗЕННЫХ УЧРЕЖДЕНИЙ ГОРОДСК</w:t>
      </w:r>
      <w:r>
        <w:rPr>
          <w:rFonts w:ascii="Liberation Serif" w:hAnsi="Liberation Serif" w:cs="Times New Roman"/>
          <w:sz w:val="28"/>
          <w:szCs w:val="28"/>
        </w:rPr>
        <w:t xml:space="preserve">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СВОБОДНЫЙ, ПРИМЕНЯЕМЫЕ ПРИ РАСЧЕТЕ</w:t>
      </w:r>
    </w:p>
    <w:p w:rsidR="003A259F" w:rsidRDefault="0018743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НОРМАТИВНЫХ ЗАТРАТ НА ПРИОБРЕТЕНИЕ БЫТОВОЙ ТЕХНИКИ И ИНЫХ ПРЕДМЕТОВ</w:t>
      </w:r>
    </w:p>
    <w:p w:rsidR="003A259F" w:rsidRDefault="003A259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97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5004"/>
        <w:gridCol w:w="2042"/>
      </w:tblGrid>
      <w:tr w:rsidR="003A259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Тип носителя информации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Количество носителей информации и периодичность приобретения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Цена за единицу носителя информации</w:t>
            </w:r>
          </w:p>
        </w:tc>
      </w:tr>
      <w:tr w:rsidR="003A259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Кофемашина</w:t>
            </w:r>
            <w:proofErr w:type="spellEnd"/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FF4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1 единицы в расчете на   руководителя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ОМС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90 тыс. руб. за 1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единицу</w:t>
            </w:r>
          </w:p>
        </w:tc>
      </w:tr>
      <w:tr w:rsidR="003A259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Микроволновая печь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 учреждение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10,00 тыс. руб. за 1 единицу</w:t>
            </w:r>
          </w:p>
        </w:tc>
      </w:tr>
      <w:tr w:rsidR="003A259F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color w:val="000000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  руководителя ОМС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более 30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Чайник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на 1 служебное помещение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3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Лампа настольная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1 работника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3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Воздухоочиститель/увлажнитель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1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единицы на 1 служебное помещение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10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Часы настенные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на 1 служебное помещение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5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Термометр инфракрасный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2 единиц в расчете на  учреждение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3 тыс. руб. за 1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lastRenderedPageBreak/>
              <w:t>е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Рециркулятор</w:t>
            </w:r>
            <w:proofErr w:type="spellEnd"/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 1 служебное помещение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10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Конвектор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 1 служебное помещение (при необходимости)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10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Телевизор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не более 1 единицы в расчете на   руководителя </w:t>
            </w: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ОМС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50 тыс. руб. за 1 единицу</w:t>
            </w:r>
          </w:p>
        </w:tc>
      </w:tr>
      <w:tr w:rsidR="003A259F"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Пылесос</w:t>
            </w:r>
          </w:p>
        </w:tc>
        <w:tc>
          <w:tcPr>
            <w:tcW w:w="5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1 единицы в расчете на  учреждение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9F" w:rsidRDefault="0018743D">
            <w:pPr>
              <w:pStyle w:val="ConsPlusNormal"/>
              <w:rPr>
                <w:rFonts w:ascii="Liberation Serif" w:hAnsi="Liberation Serif" w:cs="Times New Roman"/>
                <w:color w:val="C9211E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не более 30 тыс. руб. за 1 единицу</w:t>
            </w:r>
          </w:p>
        </w:tc>
      </w:tr>
    </w:tbl>
    <w:p w:rsidR="003A259F" w:rsidRDefault="003A259F">
      <w:pPr>
        <w:pStyle w:val="ConsPlusNormal"/>
        <w:spacing w:after="200" w:line="276" w:lineRule="auto"/>
        <w:ind w:firstLine="4678"/>
        <w:jc w:val="both"/>
        <w:outlineLvl w:val="2"/>
        <w:rPr>
          <w:rFonts w:ascii="Liberation Serif" w:hAnsi="Liberation Serif" w:cs="Times New Roman"/>
          <w:sz w:val="28"/>
          <w:szCs w:val="28"/>
        </w:rPr>
      </w:pPr>
    </w:p>
    <w:sectPr w:rsidR="003A259F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52B"/>
    <w:multiLevelType w:val="multilevel"/>
    <w:tmpl w:val="E35A9C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217ED9"/>
    <w:multiLevelType w:val="multilevel"/>
    <w:tmpl w:val="5C4C2DB0"/>
    <w:lvl w:ilvl="0">
      <w:start w:val="1"/>
      <w:numFmt w:val="decimal"/>
      <w:lvlText w:val="%1."/>
      <w:lvlJc w:val="left"/>
      <w:pPr>
        <w:tabs>
          <w:tab w:val="num" w:pos="0"/>
        </w:tabs>
        <w:ind w:left="2718" w:hanging="93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9F"/>
    <w:rsid w:val="0018743D"/>
    <w:rsid w:val="003A259F"/>
    <w:rsid w:val="006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37A6"/>
  <w15:docId w15:val="{903F643B-51C4-4990-9035-944A25BC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7360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F736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1E02A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1E02A8"/>
    <w:pPr>
      <w:widowControl w:val="0"/>
    </w:pPr>
    <w:rPr>
      <w:rFonts w:eastAsia="Times New Roman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8652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BE4C-A7DF-4CAE-9CB6-B6BE8826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Председателя Екатеринбургской городской Думы от 28.06.2021 N 40"Об утверждении Нормативных затрат на обеспечение функций Екатеринбургской городской Думы на 2022 год и плановый период 2023 - 2024 годов"</vt:lpstr>
    </vt:vector>
  </TitlesOfParts>
  <Company>КонсультантПлюс Версия 4021.00.60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Председателя Екатеринбургской городской Думы от 28.06.2021 N 40"Об утверждении Нормативных затрат на обеспечение функций Екатеринбургской городской Думы на 2022 год и плановый период 2023 - 2024 годов"</dc:title>
  <dc:subject/>
  <dc:creator>Петрова</dc:creator>
  <dc:description/>
  <cp:lastModifiedBy>Шикова</cp:lastModifiedBy>
  <cp:revision>4</cp:revision>
  <cp:lastPrinted>2022-02-02T10:51:00Z</cp:lastPrinted>
  <dcterms:created xsi:type="dcterms:W3CDTF">2022-03-21T06:28:00Z</dcterms:created>
  <dcterms:modified xsi:type="dcterms:W3CDTF">2022-03-21T06:28:00Z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