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36" w:rsidRDefault="006F2B36">
      <w:pPr>
        <w:ind w:left="5216"/>
        <w:rPr>
          <w:rFonts w:ascii="Liberation Serif" w:hAnsi="Liberation Serif"/>
        </w:rPr>
      </w:pPr>
      <w:bookmarkStart w:id="0" w:name="_GoBack"/>
      <w:bookmarkEnd w:id="0"/>
    </w:p>
    <w:p w:rsidR="006F2B36" w:rsidRDefault="00DE14D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6F2B36" w:rsidRDefault="00DE14D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6F2B36" w:rsidRDefault="00DE14D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6F2B36" w:rsidRDefault="00DE14D7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 xml:space="preserve">« </w:t>
      </w:r>
      <w:r>
        <w:rPr>
          <w:rFonts w:ascii="Liberation Serif" w:hAnsi="Liberation Serif"/>
        </w:rPr>
        <w:t>28</w:t>
      </w:r>
      <w:proofErr w:type="gramEnd"/>
      <w:r>
        <w:rPr>
          <w:rFonts w:ascii="Liberation Serif" w:hAnsi="Liberation Serif"/>
        </w:rPr>
        <w:t>_» марта  2022 года № _</w:t>
      </w:r>
      <w:r>
        <w:rPr>
          <w:rFonts w:ascii="Liberation Serif" w:hAnsi="Liberation Serif"/>
        </w:rPr>
        <w:t>137</w:t>
      </w:r>
    </w:p>
    <w:p w:rsidR="006F2B36" w:rsidRDefault="006F2B36">
      <w:pPr>
        <w:tabs>
          <w:tab w:val="left" w:pos="1620"/>
        </w:tabs>
        <w:ind w:left="5216"/>
        <w:jc w:val="both"/>
        <w:rPr>
          <w:rFonts w:ascii="Liberation Serif" w:hAnsi="Liberation Serif"/>
        </w:rPr>
      </w:pPr>
    </w:p>
    <w:p w:rsidR="006F2B36" w:rsidRDefault="006F2B3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6F2B36" w:rsidRDefault="00DE14D7">
      <w:pPr>
        <w:pStyle w:val="ConsPlusTitle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sz w:val="28"/>
          <w:szCs w:val="28"/>
        </w:rPr>
        <w:t>ПОРЯДОК</w:t>
      </w:r>
    </w:p>
    <w:p w:rsidR="006F2B36" w:rsidRDefault="00DE14D7">
      <w:pPr>
        <w:pStyle w:val="ConsPlusTitle"/>
        <w:tabs>
          <w:tab w:val="left" w:pos="1620"/>
        </w:tabs>
        <w:jc w:val="center"/>
        <w:rPr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 xml:space="preserve">осуществления финансовым отделом администрации городского округа </w:t>
      </w:r>
    </w:p>
    <w:p w:rsidR="006F2B36" w:rsidRDefault="00DE14D7">
      <w:pPr>
        <w:pStyle w:val="ConsPlusTitle"/>
        <w:tabs>
          <w:tab w:val="left" w:pos="1620"/>
        </w:tabs>
        <w:jc w:val="center"/>
        <w:rPr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>ЗАТО Свободный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</w:t>
      </w: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 xml:space="preserve">ции, из бюджета городского </w:t>
      </w:r>
      <w:proofErr w:type="gramStart"/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 xml:space="preserve"> ЗАТО Свободный</w:t>
      </w:r>
    </w:p>
    <w:p w:rsidR="006F2B36" w:rsidRDefault="006F2B36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6F2B36" w:rsidRDefault="006F2B36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6F2B36" w:rsidRDefault="00DE14D7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1. Настоящий порядок устанавливает правила осуществления финансовым отделом администрации городского округа ЗАТО Свободный (далее —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финансовый отдел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) казначейского сопровождения средств, предоставляемых участникам казначейского сопровождения, определенных в соответствии со </w:t>
      </w:r>
      <w:hyperlink r:id="rId8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статьей 242.26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 Российской Федерации, из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бюджета городского округа ЗАТО Свободный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(далее - целевые средства).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Положения настоящего порядка, установленные для участников казначейского сопровождения, распрост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раняются на обособленные (структурные) подразделения участников казначейского сопровождения при предоставлении им целевых средств.</w:t>
      </w:r>
    </w:p>
    <w:p w:rsidR="006F2B36" w:rsidRDefault="00DE14D7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2. Операции с целевыми средствами осуществляются на казначейских счетах, предусмотренных </w:t>
      </w:r>
      <w:hyperlink r:id="rId9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подпунктом 6.1 пункта 1 статьи 242.14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 Российской Федерации (далее - Бюджетный кодекс), открытых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финансовому отд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елу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сопровождения.</w:t>
      </w:r>
    </w:p>
    <w:p w:rsidR="006F2B36" w:rsidRDefault="00DE14D7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3. Операции по зачислению и списанию целевых средств на казначейских счетах, указанных в </w:t>
      </w:r>
      <w:hyperlink w:anchor="Par2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пункте 2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настоящего порядка, отраж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аются в соответствии с порядком открытия и ведения лицевых счетов участников казначейского сопровождения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финансового отдела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, устанавливаемым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(далее - порядок открытия и ведения лицевых счетов участников), на лицевом счете, предназначенно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м для осуществления и отражения операций с денежными средствами участников казначейского сопровождения (далее - лицевой счет).</w:t>
      </w:r>
    </w:p>
    <w:p w:rsidR="006F2B36" w:rsidRDefault="00DE14D7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Лицевые счета открываются в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финансовом отделе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участникам казначейского сопровождения, получающим целевые средства, в соответствии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с порядком открытия и ведения лицевых счетов участников в случаях, установленных решением Думы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 xml:space="preserve">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 xml:space="preserve"> ЗАТО Свободный о бюджете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4. Казначейское сопровождение осуществляется в отношении целевых средс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тв, предоставляемых с целью исполнения обязательств по заключенным с участниками казначейского сопровождения:</w:t>
      </w:r>
    </w:p>
    <w:p w:rsidR="006F2B36" w:rsidRDefault="00DE14D7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 xml:space="preserve">1)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муниципальным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контрактам, контрактам (договорам) о поставке товаров, выполнении работ, оказании услуг, заключенным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муниципальными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казенными учр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еждениями городского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ЗАТО Свободный, бюджетными и (или) автономными учреждениями городского округа ЗАТО Свободный;</w:t>
      </w:r>
    </w:p>
    <w:p w:rsidR="006F2B36" w:rsidRDefault="00DE14D7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2) договорам (соглашениям) о предоставлении субсидий, договорам о предоставлении бюджетных инвестиций в соответствии со статьей 80 Бюд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жетного кодекса (далее-договор (соглашение)), договорам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и бюджетные инвестиции (далее-взнос(вклад));</w:t>
      </w:r>
    </w:p>
    <w:p w:rsidR="006F2B36" w:rsidRDefault="00DE14D7">
      <w:pPr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3) контрактам (договорам) о поставке товаров, выполнении работ, оказании услуг, источником финансового обеспечения исполнения которых являются средства, указанные в </w:t>
      </w:r>
      <w:hyperlink w:anchor="P62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подпунктах 1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и </w:t>
      </w:r>
      <w:hyperlink w:anchor="P63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2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настоящего пункта (далее - контракт (договор)).</w:t>
      </w:r>
    </w:p>
    <w:p w:rsidR="006F2B36" w:rsidRDefault="00DE14D7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5. Операции по списанию целевых средств участников казначейского сопровождения, отраженных на лицевых счетах, проводятся после осуществления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санкционирования расходо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в в соответствии с порядком санкционирования расходов участников казначейского сопровождения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в городском округе ЗАТО Свободный, устанавливаемым финансовым отделом (далее - порядок санкционирования целевых средств), и проверки представлен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ных документов, установленных порядком санкционирования целевых средств, подтверждающих возникновение денежных обязательств участников казначейского сопровождения (далее - документы-основания).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Санкционирование расходов при казначейском сопровождении целев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ых средств осуществляется в соответствии со сведениями об операциях с целевыми средствами, представляемыми участниками казначейского сопровождения в финансовый отдел по форме, утвержденной порядком санкционирования целевых средств.</w:t>
      </w:r>
    </w:p>
    <w:p w:rsidR="006F2B36" w:rsidRDefault="00DE14D7">
      <w:pPr>
        <w:ind w:firstLine="709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6. В случаях и порядке, установленных Правительством Российской Федерации,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  <w:lang w:eastAsia="zh-CN"/>
        </w:rPr>
        <w:t>финансовым отделом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осуществляется расширенное казначейское сопровождение целевых средств.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7. При казначейском сопровождении целевых средств в муниципальные контракты, договоры (согл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ашения), контракты (договоры) включаются следующие условия: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1) запрет на перечисление целевых средств в случаях, указанных в пункте 8 настоящего порядка;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2) открытие участником казначейского сопровождения целевых средств лицевого счета в финансовом отделе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в целях осуществления операций с целевыми средствами в соответствии с настоящим порядком;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3) представление в финансовый отдел документов, установленных порядком санкционирования целевых средств;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 xml:space="preserve">4) указание в муниципальных контрактах, договорах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(соглашениях), контрактах (договорах), распоряжениях о совершении казначейских платежей (далее - распоряжение) и расчетных документах (за исключением распоряжений и расчетных документов, представляемых в связи с исполнением муниципальных контрактов, догово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государственная тайна)), а т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акже в документах-основаниях, реестре документов-оснований идентификатора муниципального контракта, договора (соглашения), контракта (договора) в соответствии с порядком формирования идентификатора муниципального контракта, договора (соглашения) при казнач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ейском сопровождении средств, устанавливаемым Министерством финансов Российской Федерации;</w:t>
      </w:r>
    </w:p>
    <w:p w:rsidR="006F2B36" w:rsidRDefault="00DE14D7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5) ведение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ветствии с порядком, определенным Правительством Российской Федерации.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8. Устанавливается запрет на перечисление целевых средств с лицевого счета: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1) в качестве взноса в уставный (складочный) капитал другого юридического лица (дочернего общества юридическо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го лица), вклада в имущество другого юридического лица (дочернего общества юридического лица), не увеличивающего его уставный (складочный) капитал, если нормативными правовыми актами, регулирующими порядок предоставления целевых средств, не предусмотрена в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озможность их перечисления указанному юридическому лицу (дочернему обществу юридического лица) на счета, открытые им в учреждении Центрального банка Российской Федерации или кредитной организации (далее - банк);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2) в целях размещения средств на депозитах,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а также в иные финансовые инструменты, за исключением случаев, установленных федеральными законами, нормативными правовыми актами Правительства Российской Федерации, законами Свердловской области или нормативными правовыми </w:t>
      </w:r>
      <w:proofErr w:type="gramStart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актами  городского</w:t>
      </w:r>
      <w:proofErr w:type="gramEnd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округа ЗАТО Св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ободный;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3) на счета, открытые в банке участнику казначейского сопровождения целевых средств, за исключением: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оплаты обязательств участника казначейского сопровождения целевых средств в соответствии с валютным законодательством Российской Федерации;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оплаты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обязательств участника казначейского сопровождения целевых средств по оплате труда с учетом начислений и социальных выплат, иных выплат в пользу работников, а также выплат лицам, не состоящим в штате юридического лица, привлеченным для достижения цели, оп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ределенной при предоставлении средств;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bookmarkStart w:id="1" w:name="P82"/>
      <w:bookmarkEnd w:id="1"/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оплаты фактически поставленных товаров (выполненных работ, оказанных услуг), источником финансового обеспечения которых являются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>целевые средства, в случае если участник казначейского сопровождения не привлекает для п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оставки товаров, выполнения работ, оказания услуг иных юридических лиц, а также при условии представления документов-оснований и (или) иных документов, предусмотренных муниципальными контрактами, договорами (соглашениями), контрактами (договорами) или норм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ативными правовыми актами (правовыми актами), регулирующими порядок предоставления целевых средств;</w:t>
      </w:r>
    </w:p>
    <w:p w:rsidR="006F2B36" w:rsidRDefault="00DE14D7">
      <w:pPr>
        <w:pStyle w:val="ConsPlusNormal"/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возмещения произведенных участником казначейского сопровождения целевых средств расходов (части расходов) при условии представления документов в соответстви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и с </w:t>
      </w:r>
      <w:hyperlink w:anchor="P82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абзацем четвертым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настоящего подпункта, а также копий платежных поручений, реестров платежных поручений и иных документов, подтверждающих оплату произведенных участником казначейского сопровождения целевых средств расходов (ча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сти расходов), а также муниципальных контрактов, договоров (соглашений), контрактов (договоров) или нормативных правовых актов (правовых актов), регулирующих порядок предоставления целевых средств, если условиями муниципального контракта, договора (соглаше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ния), контракта (договора) предусмотрено возмещение произведенных участником казначейского сопровождения целевых средств расходов (части расходов);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4) на счета, открытые в банках юридическим лицам, заключившим с участником казначейского сопровождения целев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ых средств договоры (соглашения), контракты (договоры), за исключением договоров (соглашений),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целевых средств инженерных сетей, коммуникаций, сооружений, а также пр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Российской Федерации, приобретения услуг по приему платежей от физических лиц, осуществляемых платежными агентами.</w:t>
      </w:r>
    </w:p>
    <w:p w:rsidR="006F2B36" w:rsidRDefault="00DE14D7">
      <w:pPr>
        <w:pStyle w:val="ConsPlusNormal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 или контрактов (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договоров),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тайне.</w:t>
      </w:r>
    </w:p>
    <w:p w:rsidR="006F2B36" w:rsidRDefault="00DE14D7">
      <w:pPr>
        <w:pStyle w:val="ConsPlusNormal"/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10. Финансовый отдел ежедневно (в рабочие дни) предоставляет 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lastRenderedPageBreak/>
        <w:t>информа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ионно-аналитического обеспечения государственной интегрированной информационной системы управления общественными финансами «Электронный бюджет».</w:t>
      </w:r>
    </w:p>
    <w:p w:rsidR="006F2B36" w:rsidRDefault="00DE14D7">
      <w:pPr>
        <w:pStyle w:val="ConsPlusNormal"/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11. В случае если федеральными законами или решениями Правительства Российской Федерации, предусмотренными </w:t>
      </w:r>
      <w:hyperlink r:id="rId10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подпунктом 2 пункта 1 статьи 242.26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кодекса, установлены требования о казначейском сопр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овождении целевых средств, предоставляемых на основании концессионных соглашений и соглашений о государственно-частном партнерстве (далее - соглашения с привлечением внебюджетных источников), финансовым отделом осуществляется казначейское сопровождение ука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занных целевых средств и устанавливается требование о распространении положений настоящего порядка на договоры (соглашения), заключаемые в рамках соглашений с привлечением внебюджетных источников.</w:t>
      </w:r>
    </w:p>
    <w:p w:rsidR="006F2B36" w:rsidRDefault="00DE14D7">
      <w:pPr>
        <w:pStyle w:val="ConsPlusNormal"/>
        <w:ind w:firstLine="709"/>
        <w:jc w:val="both"/>
      </w:pP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>12. Бюджетный мониторинг при открытии лицевых счетов и осущ</w:t>
      </w:r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</w:t>
      </w:r>
      <w:hyperlink r:id="rId11">
        <w:r>
          <w:rPr>
            <w:rFonts w:ascii="Liberation Serif;Times New Roma" w:hAnsi="Liberation Serif;Times New Roma" w:cs="Liberation Serif;Times New Roma"/>
            <w:color w:val="000000"/>
            <w:sz w:val="28"/>
            <w:szCs w:val="28"/>
          </w:rPr>
          <w:t>статьей 242.13-1</w:t>
        </w:r>
      </w:hyperlink>
      <w:r>
        <w:rPr>
          <w:rFonts w:ascii="Liberation Serif;Times New Roma" w:hAnsi="Liberation Serif;Times New Roma" w:cs="Liberation Serif;Times New Roma"/>
          <w:color w:val="000000"/>
          <w:sz w:val="28"/>
          <w:szCs w:val="28"/>
        </w:rPr>
        <w:t xml:space="preserve"> Бюджетного кодекса.</w:t>
      </w: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1"/>
          <w:szCs w:val="21"/>
        </w:rPr>
      </w:pPr>
    </w:p>
    <w:p w:rsidR="006F2B36" w:rsidRDefault="006F2B36">
      <w:pPr>
        <w:jc w:val="both"/>
        <w:rPr>
          <w:rFonts w:ascii="Liberation Serif;Times New Roma" w:hAnsi="Liberation Serif;Times New Roma" w:cs="Liberation Serif;Times New Roma"/>
          <w:sz w:val="21"/>
          <w:szCs w:val="21"/>
        </w:rPr>
      </w:pPr>
    </w:p>
    <w:p w:rsidR="006F2B36" w:rsidRDefault="006F2B36">
      <w:pPr>
        <w:jc w:val="both"/>
        <w:rPr>
          <w:rFonts w:ascii="Liberation Serif;Times New Roma" w:hAnsi="Liberation Serif;Times New Roma" w:cs="Liberation Serif;Times New Roma"/>
          <w:sz w:val="21"/>
          <w:szCs w:val="21"/>
        </w:rPr>
      </w:pPr>
    </w:p>
    <w:p w:rsidR="006F2B36" w:rsidRDefault="006F2B36">
      <w:pPr>
        <w:jc w:val="both"/>
      </w:pPr>
    </w:p>
    <w:p w:rsidR="006F2B36" w:rsidRDefault="006F2B3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sectPr w:rsidR="006F2B36">
      <w:headerReference w:type="default" r:id="rId12"/>
      <w:pgSz w:w="11906" w:h="16838"/>
      <w:pgMar w:top="1134" w:right="567" w:bottom="1134" w:left="1701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D7" w:rsidRDefault="00DE14D7">
      <w:r>
        <w:separator/>
      </w:r>
    </w:p>
  </w:endnote>
  <w:endnote w:type="continuationSeparator" w:id="0">
    <w:p w:rsidR="00DE14D7" w:rsidRDefault="00DE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D7" w:rsidRDefault="00DE14D7">
      <w:r>
        <w:separator/>
      </w:r>
    </w:p>
  </w:footnote>
  <w:footnote w:type="continuationSeparator" w:id="0">
    <w:p w:rsidR="00DE14D7" w:rsidRDefault="00DE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36" w:rsidRDefault="006F2B36">
    <w:pPr>
      <w:pStyle w:val="ae"/>
      <w:jc w:val="center"/>
    </w:pPr>
  </w:p>
  <w:p w:rsidR="006F2B36" w:rsidRDefault="006F2B3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953"/>
    <w:multiLevelType w:val="multilevel"/>
    <w:tmpl w:val="741E15D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6BE74E75"/>
    <w:multiLevelType w:val="multilevel"/>
    <w:tmpl w:val="3A9E2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36"/>
    <w:rsid w:val="000F258F"/>
    <w:rsid w:val="006F2B36"/>
    <w:rsid w:val="00AB290F"/>
    <w:rsid w:val="00D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3DC1"/>
  <w15:docId w15:val="{FA81139B-D913-4BC0-8851-416A6034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98EC167BC92B6D3D3C1D7807B3466F98C3B5BA17C672988B03F2D63637B8B59545743EC310AD15FF82961436S2m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D6EC25A67641CA0ED4781139ED262B5F25B11F4D20CEA20F4F9362474192E631AD860F41E4D5589C06E22F39FB5F149F8FAF321C2CY6F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6EC25A67641CA0ED4781139ED262B5F25B11F4D20CEA20F4F9362474192E631AD860F40E4D4589C06E22F39FB5F149F8FAF321C2CY6F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25339AA15E26CD27A98EC167BC92B6D3D3C1D7807B3466F98C3B5BA17C672988B03F2D6303BB8B59545743EC310AD15FF82961436S2m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65B5-B552-4418-A463-B694BFA8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2022-03-10T17:06:00Z</cp:lastPrinted>
  <dcterms:created xsi:type="dcterms:W3CDTF">2022-04-11T08:09:00Z</dcterms:created>
  <dcterms:modified xsi:type="dcterms:W3CDTF">2022-04-11T08:09:00Z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