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F" w:rsidRDefault="007B7F9E">
      <w:pPr>
        <w:widowControl w:val="0"/>
        <w:ind w:firstLine="5387"/>
        <w:outlineLvl w:val="1"/>
      </w:pPr>
      <w:r>
        <w:t>Утверждена</w:t>
      </w:r>
    </w:p>
    <w:p w:rsidR="00006FFF" w:rsidRDefault="007B7F9E">
      <w:pPr>
        <w:widowControl w:val="0"/>
        <w:ind w:firstLine="5387"/>
        <w:outlineLvl w:val="1"/>
      </w:pPr>
      <w:r>
        <w:t xml:space="preserve">постановлением администрации </w:t>
      </w:r>
    </w:p>
    <w:p w:rsidR="00006FFF" w:rsidRDefault="007B7F9E">
      <w:pPr>
        <w:widowControl w:val="0"/>
        <w:ind w:left="5954" w:hanging="567"/>
        <w:outlineLvl w:val="1"/>
      </w:pPr>
      <w:r>
        <w:t>городского округа ЗАТО Свободный</w:t>
      </w:r>
    </w:p>
    <w:p w:rsidR="00006FFF" w:rsidRDefault="004C2DEB">
      <w:pPr>
        <w:widowControl w:val="0"/>
        <w:ind w:firstLine="5387"/>
        <w:outlineLvl w:val="1"/>
      </w:pPr>
      <w:r>
        <w:t>от «</w:t>
      </w:r>
      <w:r w:rsidR="00CF1D6B">
        <w:t>01</w:t>
      </w:r>
      <w:r w:rsidR="007B7F9E">
        <w:t xml:space="preserve">» </w:t>
      </w:r>
      <w:r w:rsidR="00CF1D6B">
        <w:t>марта</w:t>
      </w:r>
      <w:r>
        <w:t xml:space="preserve"> 202</w:t>
      </w:r>
      <w:r w:rsidR="007273F1">
        <w:t>1</w:t>
      </w:r>
      <w:r w:rsidR="00CF1D6B">
        <w:t xml:space="preserve"> г. № 80</w:t>
      </w: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 w:rsidR="00006FFF" w:rsidRDefault="00006FFF">
      <w:pPr>
        <w:widowControl w:val="0"/>
        <w:jc w:val="center"/>
        <w:outlineLvl w:val="1"/>
        <w:rPr>
          <w:sz w:val="36"/>
          <w:szCs w:val="36"/>
        </w:rPr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 w:rsidR="00006FFF" w:rsidRDefault="00006FFF">
      <w:pPr>
        <w:widowControl w:val="0"/>
        <w:jc w:val="center"/>
        <w:outlineLvl w:val="1"/>
        <w:rPr>
          <w:sz w:val="36"/>
          <w:szCs w:val="36"/>
        </w:rPr>
      </w:pPr>
    </w:p>
    <w:p w:rsidR="00006FFF" w:rsidRDefault="007B7F9E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</w:t>
      </w:r>
      <w:r w:rsidR="004B3889">
        <w:rPr>
          <w:sz w:val="36"/>
          <w:szCs w:val="36"/>
        </w:rPr>
        <w:t>4</w:t>
      </w:r>
      <w:r>
        <w:rPr>
          <w:sz w:val="36"/>
          <w:szCs w:val="36"/>
        </w:rPr>
        <w:t xml:space="preserve"> годы </w:t>
      </w: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  <w:bookmarkStart w:id="1" w:name="_GoBack"/>
      <w:bookmarkEnd w:id="1"/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D21B84" w:rsidRDefault="00D21B84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</w:pPr>
      <w:r>
        <w:t>Городской округ ЗАТО Свободный</w:t>
      </w:r>
    </w:p>
    <w:p w:rsidR="00006FFF" w:rsidRDefault="00006FFF">
      <w:pPr>
        <w:widowControl w:val="0"/>
        <w:jc w:val="center"/>
        <w:outlineLvl w:val="1"/>
      </w:pPr>
    </w:p>
    <w:p w:rsidR="00006FFF" w:rsidRDefault="007273F1" w:rsidP="004C2DEB">
      <w:pPr>
        <w:widowControl w:val="0"/>
        <w:jc w:val="center"/>
        <w:outlineLvl w:val="1"/>
      </w:pPr>
      <w:r>
        <w:t>2021</w:t>
      </w:r>
      <w:r w:rsidR="007B7F9E">
        <w:t xml:space="preserve"> год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"Развитие городского хозяйства"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5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0"/>
        <w:gridCol w:w="4395"/>
      </w:tblGrid>
      <w:tr w:rsidR="00006FFF">
        <w:trPr>
          <w:trHeight w:val="40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 Муниципальное казенное учреждение «Служба муниципального заказа».</w:t>
            </w:r>
          </w:p>
        </w:tc>
      </w:tr>
      <w:tr w:rsidR="00006FFF">
        <w:trPr>
          <w:trHeight w:val="4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 и развитие  автомобильных дорог и улично-дорожной сети.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дорожной деятельности.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Энергосбережение и повышение </w:t>
            </w:r>
            <w:r>
              <w:rPr>
                <w:sz w:val="28"/>
                <w:szCs w:val="28"/>
              </w:rPr>
              <w:lastRenderedPageBreak/>
              <w:t>энергоэффективности  систем коммунальной инфраструктуры</w:t>
            </w: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основных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выполненных мероприятий по благоустройству  городского округа.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 w:rsidR="00006FFF">
        <w:trPr>
          <w:trHeight w:val="406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6D727C">
              <w:rPr>
                <w:sz w:val="28"/>
                <w:szCs w:val="28"/>
              </w:rPr>
              <w:t>825999,7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102721,1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86294,5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89302,4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132095,7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2" w:name="OLE_LINK2"/>
            <w:bookmarkStart w:id="3" w:name="OLE_LINK1"/>
            <w:r>
              <w:rPr>
                <w:sz w:val="28"/>
                <w:szCs w:val="28"/>
              </w:rPr>
              <w:t>2020 год – 150503,5 тыс. руб.;</w:t>
            </w:r>
            <w:bookmarkEnd w:id="2"/>
            <w:bookmarkEnd w:id="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bookmarkStart w:id="4" w:name="OLE_LINK4"/>
            <w:bookmarkStart w:id="5" w:name="OLE_LINK3"/>
            <w:r w:rsidR="006D727C">
              <w:rPr>
                <w:sz w:val="28"/>
                <w:szCs w:val="28"/>
              </w:rPr>
              <w:t>154613,5</w:t>
            </w:r>
            <w:r>
              <w:rPr>
                <w:sz w:val="28"/>
                <w:szCs w:val="28"/>
              </w:rPr>
              <w:t xml:space="preserve"> </w:t>
            </w:r>
            <w:bookmarkEnd w:id="4"/>
            <w:bookmarkEnd w:id="5"/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31385,2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31439,8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47644,0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" w:name="OLE_LINK6"/>
            <w:bookmarkStart w:id="7" w:name="OLE_LINK5"/>
            <w:bookmarkEnd w:id="6"/>
            <w:bookmarkEnd w:id="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6D727C">
              <w:rPr>
                <w:sz w:val="28"/>
                <w:szCs w:val="28"/>
              </w:rPr>
              <w:t>797564,8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–98862,3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86097,7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89100,9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109038,9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8" w:name="OLE_LINK8"/>
            <w:bookmarkStart w:id="9" w:name="OLE_LINK7"/>
            <w:bookmarkEnd w:id="8"/>
            <w:bookmarkEnd w:id="9"/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150290,4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10" w:name="OLE_LINK81"/>
            <w:bookmarkStart w:id="11" w:name="OLE_LINK71"/>
            <w:bookmarkStart w:id="12" w:name="OLE_LINK10"/>
            <w:bookmarkStart w:id="13" w:name="OLE_LINK9"/>
            <w:bookmarkEnd w:id="10"/>
            <w:bookmarkEnd w:id="11"/>
            <w:r>
              <w:rPr>
                <w:sz w:val="28"/>
                <w:szCs w:val="28"/>
              </w:rPr>
              <w:t xml:space="preserve">2021 год – </w:t>
            </w:r>
            <w:r w:rsidR="006D727C">
              <w:rPr>
                <w:sz w:val="28"/>
                <w:szCs w:val="28"/>
              </w:rPr>
              <w:t>154393,5</w:t>
            </w:r>
            <w:r>
              <w:rPr>
                <w:sz w:val="28"/>
                <w:szCs w:val="28"/>
              </w:rPr>
              <w:t xml:space="preserve"> тыс. руб.;</w:t>
            </w:r>
            <w:bookmarkEnd w:id="12"/>
            <w:bookmarkEnd w:id="1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31158,2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31208,2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47414,7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28434,9 тыс. </w:t>
            </w:r>
            <w:r>
              <w:rPr>
                <w:sz w:val="28"/>
                <w:szCs w:val="28"/>
              </w:rPr>
              <w:lastRenderedPageBreak/>
              <w:t>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3858,8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675B9">
              <w:rPr>
                <w:sz w:val="28"/>
                <w:szCs w:val="28"/>
              </w:rPr>
              <w:t>23056,8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220,0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675B9">
              <w:rPr>
                <w:sz w:val="28"/>
                <w:szCs w:val="28"/>
              </w:rPr>
              <w:t>227,0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75B9">
              <w:rPr>
                <w:sz w:val="28"/>
                <w:szCs w:val="28"/>
              </w:rPr>
              <w:t>231,6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229,3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14" w:name="OLE_LINK11"/>
            <w:bookmarkEnd w:id="1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bookmarkStart w:id="15" w:name="OLE_LINK12"/>
            <w:r>
              <w:rPr>
                <w:sz w:val="28"/>
                <w:szCs w:val="28"/>
              </w:rPr>
              <w:t>0,0 тыс. руб.;</w:t>
            </w:r>
            <w:bookmarkEnd w:id="1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  <w:bookmarkStart w:id="16" w:name="OLE_LINK14"/>
            <w:bookmarkStart w:id="17" w:name="OLE_LINK13"/>
            <w:bookmarkEnd w:id="16"/>
            <w:bookmarkEnd w:id="1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18" w:name="OLE_LINK15"/>
            <w:bookmarkEnd w:id="18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размещения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Свободный РФ</w:t>
            </w: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Раздел 1.  Характеристика и анализ текущего состояния городского хозяйства городского округа ЗАТО Свободный.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 и, как следствие, повысить качество жизни населения;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социально-экономическое развитие городского округа;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Свободный;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CF1D6B" w:rsidRDefault="00CF1D6B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1.  Обеспечение качества условий проживания населения и улучшения жилищных условий.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подпрограммы « Обеспечение качества условий проживания населения и улучшения жилищных условий».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1"/>
        <w:gridCol w:w="4535"/>
      </w:tblGrid>
      <w:tr w:rsidR="00006FFF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Повышение качества и безопасности проживания населения.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006FFF">
        <w:trPr>
          <w:trHeight w:val="6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006FFF">
        <w:trPr>
          <w:trHeight w:val="22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19" w:name="OLE_LINK19"/>
            <w:bookmarkStart w:id="20" w:name="OLE_LINK18"/>
            <w:r w:rsidR="0081080B">
              <w:rPr>
                <w:sz w:val="28"/>
                <w:szCs w:val="28"/>
              </w:rPr>
              <w:t>130056,9</w:t>
            </w:r>
            <w:r>
              <w:rPr>
                <w:sz w:val="28"/>
                <w:szCs w:val="28"/>
              </w:rPr>
              <w:t xml:space="preserve"> </w:t>
            </w:r>
            <w:bookmarkEnd w:id="19"/>
            <w:bookmarkEnd w:id="20"/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14915,8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16167,6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1080B">
              <w:rPr>
                <w:sz w:val="28"/>
                <w:szCs w:val="28"/>
              </w:rPr>
              <w:t>16525,7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  <w:bookmarkStart w:id="21" w:name="OLE_LINK21"/>
            <w:bookmarkStart w:id="22" w:name="OLE_LINK20"/>
            <w:bookmarkEnd w:id="21"/>
            <w:bookmarkEnd w:id="22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23" w:name="OLE_LINK17"/>
            <w:bookmarkStart w:id="24" w:name="OLE_LINK16"/>
            <w:bookmarkEnd w:id="23"/>
            <w:bookmarkEnd w:id="2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1D26B1">
              <w:rPr>
                <w:sz w:val="28"/>
                <w:szCs w:val="28"/>
              </w:rPr>
              <w:t>130056,9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14915,8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16167,6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D26B1">
              <w:rPr>
                <w:sz w:val="28"/>
                <w:szCs w:val="28"/>
              </w:rPr>
              <w:t>16525,7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25" w:name="OLE_LINK25"/>
            <w:bookmarkStart w:id="26" w:name="OLE_LINK24"/>
            <w:bookmarkEnd w:id="25"/>
            <w:bookmarkEnd w:id="26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27" w:name="OLE_LINK23"/>
            <w:bookmarkStart w:id="28" w:name="OLE_LINK22"/>
            <w:bookmarkEnd w:id="27"/>
            <w:bookmarkEnd w:id="2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29" w:name="OLE_LINK26"/>
            <w:bookmarkEnd w:id="29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CF1D6B" w:rsidRDefault="00CF1D6B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 характеризуется следующими показателями: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жилых помещений в многоквартирных домах составляет 116,47 тыс. кв. метров.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 xml:space="preserve">В жилищном фонде городского округа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- 409 штук;</w:t>
      </w:r>
    </w:p>
    <w:p w:rsidR="00006FFF" w:rsidRDefault="007B7F9E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- 405 штук.</w:t>
      </w:r>
    </w:p>
    <w:p w:rsidR="00006FFF" w:rsidRDefault="007B7F9E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</w:t>
      </w:r>
      <w:r>
        <w:rPr>
          <w:sz w:val="28"/>
          <w:szCs w:val="28"/>
        </w:rPr>
        <w:lastRenderedPageBreak/>
        <w:t>безопасности страны, оснащение индивидуальными приборами учета многоквартирных домов становится ключевой задачей.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 w:rsidR="00006FFF" w:rsidRDefault="00006FFF">
      <w:pPr>
        <w:rPr>
          <w:sz w:val="28"/>
          <w:szCs w:val="28"/>
        </w:rPr>
      </w:pP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коммунальной инфраструктуры»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482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</w:r>
            <w:r>
              <w:rPr>
                <w:sz w:val="28"/>
                <w:szCs w:val="28"/>
              </w:rPr>
              <w:br/>
              <w:t>2. Развитие системы энергоснабжения.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Снижение энергопотерь </w:t>
            </w:r>
            <w:r>
              <w:rPr>
                <w:sz w:val="28"/>
                <w:szCs w:val="28"/>
              </w:rPr>
              <w:lastRenderedPageBreak/>
              <w:t>котельной;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 w:rsidR="00006FFF">
        <w:trPr>
          <w:trHeight w:val="22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30" w:name="OLE_LINK28"/>
            <w:bookmarkStart w:id="31" w:name="OLE_LINK27"/>
            <w:r w:rsidR="00926EF2">
              <w:rPr>
                <w:sz w:val="28"/>
                <w:szCs w:val="28"/>
              </w:rPr>
              <w:t>466942,</w:t>
            </w:r>
            <w:r w:rsidR="00502E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</w:t>
            </w:r>
            <w:bookmarkEnd w:id="30"/>
            <w:bookmarkEnd w:id="31"/>
            <w:r>
              <w:rPr>
                <w:sz w:val="28"/>
                <w:szCs w:val="28"/>
              </w:rPr>
              <w:t>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80112,8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94256,5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26EF2">
              <w:rPr>
                <w:sz w:val="28"/>
                <w:szCs w:val="28"/>
              </w:rPr>
              <w:t>86586,2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C8294D">
              <w:rPr>
                <w:sz w:val="28"/>
                <w:szCs w:val="28"/>
              </w:rPr>
              <w:t xml:space="preserve"> 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10085,8 тыс. руб.</w:t>
            </w:r>
            <w:bookmarkStart w:id="32" w:name="OLE_LINK32"/>
            <w:bookmarkEnd w:id="32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33" w:name="OLE_LINK29"/>
            <w:bookmarkEnd w:id="3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— </w:t>
            </w:r>
            <w:r w:rsidR="00502E0E">
              <w:rPr>
                <w:sz w:val="28"/>
                <w:szCs w:val="28"/>
              </w:rPr>
              <w:t>457391,5</w:t>
            </w:r>
            <w:r>
              <w:rPr>
                <w:sz w:val="28"/>
                <w:szCs w:val="28"/>
              </w:rPr>
              <w:t xml:space="preserve"> 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70561,8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94256,5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26EF2">
              <w:rPr>
                <w:sz w:val="28"/>
                <w:szCs w:val="28"/>
              </w:rPr>
              <w:t>86586,2</w:t>
            </w:r>
            <w:r w:rsidR="005B2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</w:t>
            </w:r>
            <w:r w:rsidR="00C8294D">
              <w:rPr>
                <w:sz w:val="28"/>
                <w:szCs w:val="28"/>
              </w:rPr>
              <w:t>085,8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</w:t>
            </w:r>
            <w:bookmarkStart w:id="34" w:name="OLE_LINK34"/>
            <w:bookmarkStart w:id="35" w:name="OLE_LINK33"/>
            <w:r>
              <w:rPr>
                <w:sz w:val="28"/>
                <w:szCs w:val="28"/>
              </w:rPr>
              <w:t>9551,0 тыс. руб.;</w:t>
            </w:r>
            <w:bookmarkEnd w:id="34"/>
            <w:bookmarkEnd w:id="3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–9551,0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6" w:name="OLE_LINK37"/>
            <w:bookmarkStart w:id="37" w:name="OLE_LINK36"/>
            <w:bookmarkEnd w:id="36"/>
            <w:bookmarkEnd w:id="37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38" w:name="OLE_LINK35"/>
            <w:bookmarkEnd w:id="3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9" w:name="OLE_LINK39"/>
            <w:bookmarkStart w:id="40" w:name="OLE_LINK38"/>
            <w:bookmarkEnd w:id="39"/>
            <w:bookmarkEnd w:id="40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06FFF" w:rsidRDefault="00006FFF">
      <w:pPr>
        <w:spacing w:after="13" w:line="264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модернизации и капитальному ремонту объектов коммунальной инфраструктуры в рамках действующей  подпрограммы позволит: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482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006FFF" w:rsidRDefault="00006FF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006FFF">
        <w:trPr>
          <w:trHeight w:val="831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006FFF" w:rsidRDefault="00BF4B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134789,</w:t>
            </w:r>
            <w:r w:rsidR="00A22C0C">
              <w:rPr>
                <w:sz w:val="28"/>
                <w:szCs w:val="28"/>
              </w:rPr>
              <w:t>6</w:t>
            </w:r>
            <w:r w:rsidR="007B7F9E">
              <w:rPr>
                <w:sz w:val="28"/>
                <w:szCs w:val="28"/>
              </w:rPr>
              <w:t xml:space="preserve"> </w:t>
            </w:r>
            <w:bookmarkStart w:id="41" w:name="OLE_LINK41"/>
            <w:bookmarkStart w:id="42" w:name="OLE_LINK40"/>
            <w:r w:rsidR="007B7F9E">
              <w:rPr>
                <w:sz w:val="28"/>
                <w:szCs w:val="28"/>
              </w:rPr>
              <w:t>тыс. руб.;</w:t>
            </w:r>
            <w:bookmarkEnd w:id="41"/>
            <w:bookmarkEnd w:id="42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BF4B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</w:t>
            </w:r>
            <w:r w:rsidR="007B7F9E">
              <w:rPr>
                <w:sz w:val="28"/>
                <w:szCs w:val="28"/>
              </w:rPr>
              <w:t>433,5 тыс. руб.;</w:t>
            </w:r>
          </w:p>
          <w:p w:rsidR="00006FFF" w:rsidRDefault="00BF4B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</w:t>
            </w:r>
            <w:r w:rsidR="007B7F9E">
              <w:rPr>
                <w:sz w:val="28"/>
                <w:szCs w:val="28"/>
              </w:rPr>
              <w:t>461,5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15605,1 тыс. руб.;</w:t>
            </w:r>
          </w:p>
          <w:p w:rsidR="00006FFF" w:rsidRDefault="00BF4B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11614,</w:t>
            </w:r>
            <w:r w:rsidR="00A22C0C">
              <w:rPr>
                <w:sz w:val="28"/>
                <w:szCs w:val="28"/>
              </w:rPr>
              <w:t>5</w:t>
            </w:r>
            <w:r w:rsidR="007B7F9E"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24369,3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4BF3">
              <w:rPr>
                <w:sz w:val="28"/>
                <w:szCs w:val="28"/>
              </w:rPr>
              <w:t>41712,2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7704,1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7758,7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14130,7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3" w:name="OLE_LINK43"/>
            <w:bookmarkStart w:id="44" w:name="OLE_LINK42"/>
            <w:bookmarkEnd w:id="43"/>
            <w:bookmarkEnd w:id="4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BF4BF3">
              <w:rPr>
                <w:sz w:val="28"/>
                <w:szCs w:val="28"/>
              </w:rPr>
              <w:t>132869,5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5238,9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6264,7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15403,6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11408,3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24156,2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4BF3">
              <w:rPr>
                <w:sz w:val="28"/>
                <w:szCs w:val="28"/>
              </w:rPr>
              <w:t xml:space="preserve">41492,2 </w:t>
            </w:r>
            <w:r>
              <w:rPr>
                <w:sz w:val="28"/>
                <w:szCs w:val="28"/>
              </w:rPr>
              <w:t>тыс. руб.;</w:t>
            </w:r>
            <w:bookmarkStart w:id="45" w:name="OLE_LINK46"/>
            <w:bookmarkStart w:id="46" w:name="OLE_LINK45"/>
            <w:bookmarkEnd w:id="45"/>
            <w:bookmarkEnd w:id="46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7477,1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7527,1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13901,4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7" w:name="OLE_LINK44"/>
            <w:bookmarkEnd w:id="4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1920,1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–194,6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–196,8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–201,5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–206,2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–213,1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–220,0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–229,3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8" w:name="OLE_LINK48"/>
            <w:bookmarkStart w:id="49" w:name="OLE_LINK47"/>
            <w:bookmarkEnd w:id="48"/>
            <w:bookmarkEnd w:id="4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</w:t>
            </w:r>
            <w:bookmarkStart w:id="50" w:name="OLE_LINK50"/>
            <w:bookmarkStart w:id="51" w:name="OLE_LINK49"/>
            <w:bookmarkStart w:id="52" w:name="OLE_LINK55"/>
            <w:bookmarkStart w:id="53" w:name="OLE_LINK54"/>
            <w:r>
              <w:rPr>
                <w:sz w:val="28"/>
                <w:szCs w:val="28"/>
              </w:rPr>
              <w:t>0,0 тыс. руб.;</w:t>
            </w:r>
            <w:bookmarkEnd w:id="50"/>
            <w:bookmarkEnd w:id="51"/>
            <w:bookmarkEnd w:id="52"/>
            <w:bookmarkEnd w:id="5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bookmarkStart w:id="54" w:name="OLE_LINK52"/>
            <w:bookmarkStart w:id="55" w:name="OLE_LINK51"/>
            <w:r>
              <w:rPr>
                <w:sz w:val="28"/>
                <w:szCs w:val="28"/>
              </w:rPr>
              <w:t>0,0 тыс. руб.;</w:t>
            </w:r>
            <w:bookmarkEnd w:id="54"/>
            <w:bookmarkEnd w:id="5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56" w:name="OLE_LINK57"/>
            <w:bookmarkStart w:id="57" w:name="OLE_LINK56"/>
            <w:bookmarkEnd w:id="56"/>
            <w:bookmarkEnd w:id="57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58" w:name="OLE_LINK53"/>
            <w:bookmarkEnd w:id="5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</w:tbl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городском округе 32 дворовые территории. Из них благоустроенные 22 , площадью 26433, что составляет 70% от общей площади дворовых территорий.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 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озеленение, уход за зелеными насаждениями;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устройство пешеходных дорожек;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освещение территорий, в том числе декоративное;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установка скамеек и урн, контейнеров для сбора мусора;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установка вновь и (или) восстановление существующих ограждений;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оформление цветников (ландшафтный дизайн).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006FFF" w:rsidRDefault="007B7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006FFF" w:rsidRDefault="007B7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минимальный перечень работ по благоустройству дворовых территорий (приложение </w:t>
      </w:r>
      <w:r w:rsidR="00CF1D6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дополнительный перечень работ по благоустройству дворовых территорий многоквартирных домов (приложение </w:t>
      </w:r>
      <w:r w:rsidR="00CF1D6B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Ориентировочная стоимость (единичные расценки) работ по благоустройству дворовых территорий (приложение </w:t>
      </w:r>
      <w:r w:rsidR="00CF1D6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 w:rsidR="00CF1D6B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программе);</w:t>
      </w:r>
    </w:p>
    <w:p w:rsidR="00006FFF" w:rsidRDefault="00006FFF">
      <w:pPr>
        <w:spacing w:after="200" w:line="276" w:lineRule="auto"/>
        <w:jc w:val="center"/>
        <w:rPr>
          <w:sz w:val="28"/>
          <w:szCs w:val="28"/>
        </w:rPr>
      </w:pPr>
    </w:p>
    <w:p w:rsidR="00006FFF" w:rsidRDefault="00006FFF">
      <w:pPr>
        <w:spacing w:after="200" w:line="276" w:lineRule="auto"/>
        <w:jc w:val="center"/>
        <w:rPr>
          <w:sz w:val="28"/>
          <w:szCs w:val="28"/>
        </w:rPr>
      </w:pP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285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ЗАТО Свободный (отдел городского хозяйства и </w:t>
            </w:r>
            <w:r>
              <w:rPr>
                <w:sz w:val="28"/>
                <w:szCs w:val="28"/>
              </w:rPr>
              <w:lastRenderedPageBreak/>
              <w:t>экономики), Муниципальное казенное учреждение «Служба муниципального заказа».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  <w:p w:rsidR="00006FFF" w:rsidRDefault="00006FFF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 w:rsidR="00006FFF">
        <w:trPr>
          <w:trHeight w:val="22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3AC6">
              <w:rPr>
                <w:sz w:val="28"/>
                <w:szCs w:val="28"/>
              </w:rPr>
              <w:t>79881,3</w:t>
            </w:r>
            <w:r w:rsidR="00CC2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11078,8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15710,0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23AC6">
              <w:rPr>
                <w:sz w:val="28"/>
                <w:szCs w:val="28"/>
              </w:rPr>
              <w:t>9789,4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59" w:name="OLE_LINK58"/>
            <w:bookmarkEnd w:id="5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 </w:t>
            </w:r>
            <w:r w:rsidR="00823AC6">
              <w:rPr>
                <w:sz w:val="28"/>
                <w:szCs w:val="28"/>
              </w:rPr>
              <w:t>76217,1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lastRenderedPageBreak/>
              <w:t>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7414,6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15710,0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23AC6">
              <w:rPr>
                <w:sz w:val="28"/>
                <w:szCs w:val="28"/>
              </w:rPr>
              <w:t>9789,4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рублей;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0" w:name="OLE_LINK60"/>
            <w:bookmarkStart w:id="61" w:name="OLE_LINK59"/>
            <w:bookmarkEnd w:id="60"/>
            <w:bookmarkEnd w:id="61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3664,2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3664,2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руб.;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2" w:name="OLE_LINK61"/>
            <w:bookmarkEnd w:id="62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63" w:name="OLE_LINK65"/>
            <w:bookmarkStart w:id="64" w:name="OLE_LINK64"/>
            <w:bookmarkEnd w:id="63"/>
            <w:bookmarkEnd w:id="64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5" w:name="OLE_LINK63"/>
            <w:bookmarkStart w:id="66" w:name="OLE_LINK62"/>
            <w:bookmarkEnd w:id="65"/>
            <w:bookmarkEnd w:id="66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муниципальной собственности городского округа ЗАТО Свободный находится 8 495 м автомобильных дорог местного значения,  </w:t>
      </w:r>
      <w:r>
        <w:rPr>
          <w:bCs/>
          <w:sz w:val="28"/>
          <w:szCs w:val="28"/>
        </w:rPr>
        <w:t>670,5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п.Свободный)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 w:rsidR="00006FFF" w:rsidRDefault="007B7F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представленных проблем разработана подпрограмма </w:t>
      </w:r>
      <w:r>
        <w:rPr>
          <w:sz w:val="28"/>
          <w:szCs w:val="28"/>
        </w:rPr>
        <w:lastRenderedPageBreak/>
        <w:t>«Развитие дорожной деятельности».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 Энергосбережение и повышение энергоэффективности  систем коммунальной инфраструктуры.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1"/>
        <w:gridCol w:w="4535"/>
      </w:tblGrid>
      <w:tr w:rsidR="00006FFF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Энергосбережение, повышение энергоэффективности систем коммунальной инфраструктуры.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6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22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14329,4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–14329,4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67" w:name="OLE_LINK68"/>
            <w:bookmarkStart w:id="68" w:name="OLE_LINK67"/>
            <w:bookmarkEnd w:id="67"/>
            <w:bookmarkEnd w:id="68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9" w:name="OLE_LINK66"/>
            <w:bookmarkEnd w:id="6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1029,8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–1029,8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70" w:name="OLE_LINK70"/>
            <w:bookmarkStart w:id="71" w:name="OLE_LINK69"/>
            <w:bookmarkEnd w:id="70"/>
            <w:bookmarkEnd w:id="71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13299,6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–13299,6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72" w:name="OLE_LINK72"/>
            <w:bookmarkStart w:id="73" w:name="OLE_LINK711"/>
            <w:bookmarkEnd w:id="72"/>
            <w:bookmarkEnd w:id="7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и анализ энергоэффективности систем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централизованного теплоснабжения городского округа является газовая котельная  МУП ЖКХ «Кедр»: установленная мощность – 63 Гкал/час; 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газ. Резервное топливо – мазут. Мазутное хозяйство располагается рядом с котельной.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7034 м. </w:t>
      </w:r>
    </w:p>
    <w:p w:rsidR="00006FFF" w:rsidRDefault="007B7F9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 Свободный и войсковых частей, расположенных на прилегающих территориях.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 d100.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три постоянно действующих родника.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220/35/6кВ, находящейся в северной части ЗАТО, в конце ул.Неделина.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- обеспечить более рациональное использование природных ресурсов, снижение потерь, экономию энергоресурсов.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CF1D6B" w:rsidRDefault="00CF1D6B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2. «Цели и задачи муниципальной программы, </w:t>
      </w: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программы».</w:t>
      </w:r>
    </w:p>
    <w:p w:rsidR="00006FFF" w:rsidRDefault="00006FFF">
      <w:pPr>
        <w:jc w:val="center"/>
        <w:rPr>
          <w:sz w:val="28"/>
          <w:szCs w:val="28"/>
        </w:rPr>
      </w:pPr>
    </w:p>
    <w:p w:rsidR="00006FFF" w:rsidRDefault="007B7F9E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006FFF" w:rsidRDefault="007B7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</w:t>
      </w:r>
      <w:r w:rsidR="00CF1D6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006FFF" w:rsidRDefault="00006FFF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 w:rsidR="00006FFF" w:rsidRDefault="00006FFF">
      <w:pPr>
        <w:jc w:val="center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7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 апреля 2013 года N 44-ФЗ               "О контрактной системе в сфере закупок товаров, работ, услуг для обеспечения государственных и муниципальных нужд". 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8">
        <w:r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 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 </w:t>
      </w:r>
      <w:r w:rsidR="002B123F">
        <w:rPr>
          <w:rFonts w:eastAsiaTheme="minorHAnsi"/>
          <w:sz w:val="28"/>
          <w:szCs w:val="28"/>
          <w:lang w:eastAsia="en-US"/>
        </w:rPr>
        <w:t>825999,</w:t>
      </w:r>
      <w:r w:rsidR="00DA3243">
        <w:rPr>
          <w:rFonts w:eastAsiaTheme="minorHAnsi"/>
          <w:sz w:val="28"/>
          <w:szCs w:val="28"/>
          <w:lang w:eastAsia="en-US"/>
        </w:rPr>
        <w:t>7</w:t>
      </w:r>
      <w:r>
        <w:rPr>
          <w:sz w:val="28"/>
          <w:szCs w:val="28"/>
        </w:rPr>
        <w:t xml:space="preserve"> тыс. руб.,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006FFF">
      <w:pPr>
        <w:widowControl w:val="0"/>
        <w:rPr>
          <w:sz w:val="28"/>
          <w:szCs w:val="28"/>
        </w:rPr>
      </w:pPr>
    </w:p>
    <w:p w:rsidR="00CF1D6B" w:rsidRDefault="00CF1D6B">
      <w:pPr>
        <w:widowControl w:val="0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102721,1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86294,5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–89302,4тыс.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132095,7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1306">
        <w:rPr>
          <w:sz w:val="28"/>
          <w:szCs w:val="28"/>
        </w:rPr>
        <w:t>150503,5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bookmarkStart w:id="74" w:name="OLE_LINK76"/>
      <w:bookmarkStart w:id="75" w:name="OLE_LINK75"/>
      <w:r>
        <w:rPr>
          <w:sz w:val="28"/>
          <w:szCs w:val="28"/>
        </w:rPr>
        <w:t xml:space="preserve">2021 год – </w:t>
      </w:r>
      <w:r w:rsidR="002B123F">
        <w:rPr>
          <w:sz w:val="28"/>
          <w:szCs w:val="28"/>
        </w:rPr>
        <w:t>154613,5</w:t>
      </w:r>
      <w:r w:rsidR="00B8130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  <w:bookmarkEnd w:id="74"/>
      <w:bookmarkEnd w:id="75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81306">
        <w:rPr>
          <w:sz w:val="28"/>
          <w:szCs w:val="28"/>
        </w:rPr>
        <w:t>31385,2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81306">
        <w:rPr>
          <w:sz w:val="28"/>
          <w:szCs w:val="28"/>
        </w:rPr>
        <w:t>31439,8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47644,0 тыс. руб.</w:t>
      </w:r>
      <w:bookmarkStart w:id="76" w:name="OLE_LINK74"/>
      <w:bookmarkStart w:id="77" w:name="OLE_LINK73"/>
      <w:bookmarkEnd w:id="76"/>
      <w:bookmarkEnd w:id="77"/>
    </w:p>
    <w:p w:rsidR="00006FFF" w:rsidRDefault="00006FFF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Theme="minorHAnsi"/>
          <w:sz w:val="28"/>
          <w:szCs w:val="28"/>
          <w:lang w:eastAsia="en-US"/>
        </w:rPr>
        <w:t xml:space="preserve">» -  </w:t>
      </w:r>
      <w:r w:rsidR="002B123F">
        <w:rPr>
          <w:rFonts w:eastAsiaTheme="minorHAnsi"/>
          <w:sz w:val="28"/>
          <w:szCs w:val="28"/>
          <w:lang w:eastAsia="en-US"/>
        </w:rPr>
        <w:t>130056,9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15801,0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12084,7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11833,7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14915,8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16167,6 тыс. руб.;</w:t>
      </w:r>
      <w:bookmarkStart w:id="78" w:name="OLE_LINK78"/>
      <w:bookmarkStart w:id="79" w:name="OLE_LINK77"/>
      <w:bookmarkEnd w:id="78"/>
      <w:bookmarkEnd w:id="79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B123F">
        <w:rPr>
          <w:sz w:val="28"/>
          <w:szCs w:val="28"/>
        </w:rPr>
        <w:t>16525,7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14352,1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14352,1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14024,2 тыс. руб.;</w:t>
      </w:r>
    </w:p>
    <w:p w:rsidR="00006FFF" w:rsidRDefault="00006FFF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006FFF" w:rsidRDefault="00006FFF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>
        <w:rPr>
          <w:sz w:val="28"/>
          <w:szCs w:val="28"/>
        </w:rPr>
        <w:t xml:space="preserve"> </w:t>
      </w:r>
      <w:r w:rsidR="002B123F">
        <w:rPr>
          <w:sz w:val="28"/>
          <w:szCs w:val="28"/>
        </w:rPr>
        <w:t>466942,5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70407,8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59454,1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58407,3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80112,8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94256,5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2021 год – </w:t>
      </w:r>
      <w:r w:rsidR="002B123F">
        <w:rPr>
          <w:sz w:val="28"/>
          <w:szCs w:val="28"/>
        </w:rPr>
        <w:t>86586,2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3816,0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3816,0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>2024 год – 10085,8 тыс. руб.;</w:t>
      </w:r>
    </w:p>
    <w:p w:rsidR="00006FFF" w:rsidRDefault="00006FFF">
      <w:pPr>
        <w:widowControl w:val="0"/>
        <w:rPr>
          <w:b/>
          <w:sz w:val="20"/>
          <w:szCs w:val="20"/>
          <w:highlight w:val="yellow"/>
        </w:rPr>
      </w:pPr>
      <w:bookmarkStart w:id="80" w:name="OLE_LINK80"/>
      <w:bookmarkStart w:id="81" w:name="OLE_LINK79"/>
      <w:bookmarkEnd w:id="80"/>
      <w:bookmarkEnd w:id="81"/>
    </w:p>
    <w:p w:rsidR="00006FFF" w:rsidRDefault="00006FFF">
      <w:pPr>
        <w:jc w:val="both"/>
        <w:rPr>
          <w:b/>
          <w:sz w:val="20"/>
          <w:szCs w:val="20"/>
          <w:highlight w:val="yellow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 xml:space="preserve">Формирование современной городской среды»  - </w:t>
      </w:r>
      <w:r w:rsidR="002B123F">
        <w:rPr>
          <w:sz w:val="28"/>
          <w:szCs w:val="28"/>
        </w:rPr>
        <w:t>134789,6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                        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5433,5тыс.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6461,5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15605,1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11614,5 тыс. руб.;</w:t>
      </w:r>
    </w:p>
    <w:p w:rsidR="00006FFF" w:rsidRDefault="007B7F9E">
      <w:pPr>
        <w:widowControl w:val="0"/>
        <w:rPr>
          <w:sz w:val="28"/>
          <w:szCs w:val="28"/>
        </w:rPr>
      </w:pPr>
      <w:bookmarkStart w:id="82" w:name="OLE_LINK811"/>
      <w:r>
        <w:rPr>
          <w:sz w:val="28"/>
          <w:szCs w:val="28"/>
        </w:rPr>
        <w:t xml:space="preserve">2020 год – </w:t>
      </w:r>
      <w:r w:rsidR="00175703">
        <w:rPr>
          <w:sz w:val="28"/>
          <w:szCs w:val="28"/>
        </w:rPr>
        <w:t>24369,3</w:t>
      </w:r>
      <w:r>
        <w:rPr>
          <w:sz w:val="28"/>
          <w:szCs w:val="28"/>
        </w:rPr>
        <w:t xml:space="preserve"> тыс. руб</w:t>
      </w:r>
      <w:bookmarkEnd w:id="82"/>
      <w:r>
        <w:rPr>
          <w:sz w:val="28"/>
          <w:szCs w:val="28"/>
        </w:rPr>
        <w:t>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B123F">
        <w:rPr>
          <w:sz w:val="28"/>
          <w:szCs w:val="28"/>
        </w:rPr>
        <w:t>41712,2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2022 год – </w:t>
      </w:r>
      <w:r w:rsidR="00175703">
        <w:rPr>
          <w:sz w:val="28"/>
          <w:szCs w:val="28"/>
        </w:rPr>
        <w:t>7704,1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7758,7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2024 год – 14130,7 тыс. руб.;</w:t>
      </w:r>
    </w:p>
    <w:p w:rsidR="00006FFF" w:rsidRDefault="00006FFF">
      <w:pPr>
        <w:widowControl w:val="0"/>
        <w:rPr>
          <w:sz w:val="28"/>
          <w:szCs w:val="28"/>
          <w:highlight w:val="yellow"/>
        </w:rPr>
      </w:pPr>
      <w:bookmarkStart w:id="83" w:name="OLE_LINK82"/>
      <w:bookmarkEnd w:id="83"/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 xml:space="preserve">Развитие дорожной деятельности»  - </w:t>
      </w:r>
      <w:r w:rsidR="002B123F">
        <w:rPr>
          <w:sz w:val="28"/>
          <w:szCs w:val="28"/>
        </w:rPr>
        <w:t>79881,3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11078,8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8294,2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3456,5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11123,2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15710,0 тыс. руб.;</w:t>
      </w:r>
      <w:bookmarkStart w:id="84" w:name="OLE_LINK83"/>
      <w:bookmarkEnd w:id="84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B123F">
        <w:rPr>
          <w:sz w:val="28"/>
          <w:szCs w:val="28"/>
        </w:rPr>
        <w:t>9789,4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5513,0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5513,0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9403,2 тыс. руб.</w:t>
      </w:r>
    </w:p>
    <w:p w:rsidR="00006FFF" w:rsidRDefault="00006FFF">
      <w:pPr>
        <w:widowControl w:val="0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- 14329,4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14329,4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2020 год – 0,0 тыс. руб.;</w:t>
      </w:r>
      <w:bookmarkStart w:id="85" w:name="OLE_LINK84"/>
      <w:bookmarkEnd w:id="85"/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2021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2022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2023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2024 год – 0,0 тыс. руб.;</w:t>
      </w:r>
    </w:p>
    <w:p w:rsidR="00006FFF" w:rsidRDefault="00006FFF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p w:rsidR="00006FFF" w:rsidRDefault="00372E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>
        <w:r w:rsidR="007B7F9E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7B7F9E">
        <w:rPr>
          <w:rFonts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N </w:t>
      </w:r>
      <w:r w:rsidR="00CF1D6B">
        <w:rPr>
          <w:rFonts w:eastAsiaTheme="minorHAnsi"/>
          <w:sz w:val="28"/>
          <w:szCs w:val="28"/>
          <w:lang w:eastAsia="en-US"/>
        </w:rPr>
        <w:t>7</w:t>
      </w:r>
      <w:r w:rsidR="007B7F9E">
        <w:rPr>
          <w:rFonts w:eastAsiaTheme="minorHAnsi"/>
          <w:sz w:val="28"/>
          <w:szCs w:val="28"/>
          <w:lang w:eastAsia="en-US"/>
        </w:rPr>
        <w:t xml:space="preserve"> к муниципальной  программе "Развитие городского хозяйства» на 2016-2024 годы. </w:t>
      </w:r>
    </w:p>
    <w:p w:rsidR="0061337A" w:rsidRDefault="0061337A" w:rsidP="0061337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DC9">
        <w:rPr>
          <w:sz w:val="28"/>
          <w:szCs w:val="28"/>
        </w:rPr>
        <w:t xml:space="preserve">Информация о результатах проведенного общественного обсуждения </w:t>
      </w:r>
      <w:r>
        <w:rPr>
          <w:sz w:val="28"/>
          <w:szCs w:val="28"/>
        </w:rPr>
        <w:t xml:space="preserve">проекта </w:t>
      </w:r>
      <w:r w:rsidRPr="00E76DC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 приведена в приложении N 6 к муниципальной  программе "Развитие городского хозяйства» на 2016-2024 годы. </w:t>
      </w:r>
    </w:p>
    <w:p w:rsidR="00006FFF" w:rsidRDefault="00006F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FF" w:rsidRDefault="00006F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FF" w:rsidRDefault="007B7F9E">
      <w:pPr>
        <w:spacing w:after="200" w:line="276" w:lineRule="auto"/>
        <w:jc w:val="both"/>
        <w:rPr>
          <w:sz w:val="28"/>
          <w:szCs w:val="28"/>
        </w:rPr>
      </w:pPr>
      <w:r>
        <w:br w:type="page"/>
      </w:r>
    </w:p>
    <w:p w:rsidR="00006FFF" w:rsidRDefault="007B7F9E">
      <w:pPr>
        <w:widowControl w:val="0"/>
        <w:ind w:firstLine="5387"/>
        <w:outlineLvl w:val="1"/>
      </w:pPr>
      <w:r>
        <w:lastRenderedPageBreak/>
        <w:t>Приложение N</w:t>
      </w:r>
      <w:r w:rsidR="00CF1D6B">
        <w:t>1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006FFF" w:rsidRDefault="00006FFF">
      <w:pPr>
        <w:jc w:val="center"/>
        <w:rPr>
          <w:b/>
          <w:sz w:val="28"/>
          <w:szCs w:val="28"/>
        </w:rPr>
      </w:pPr>
    </w:p>
    <w:p w:rsidR="00006FFF" w:rsidRDefault="007B7F9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</w:t>
      </w:r>
    </w:p>
    <w:p w:rsidR="00006FFF" w:rsidRDefault="007B7F9E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</w:t>
      </w:r>
    </w:p>
    <w:p w:rsidR="00006FFF" w:rsidRDefault="007B7F9E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</w:t>
      </w:r>
    </w:p>
    <w:p w:rsidR="00006FFF" w:rsidRDefault="007B7F9E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430EC5" w:rsidRDefault="00430EC5"/>
    <w:p w:rsidR="00006FFF" w:rsidRDefault="00006FFF"/>
    <w:p w:rsidR="00006FFF" w:rsidRDefault="00006FFF"/>
    <w:p w:rsidR="00006FFF" w:rsidRDefault="007B7F9E">
      <w:pPr>
        <w:widowControl w:val="0"/>
        <w:ind w:firstLine="5387"/>
        <w:outlineLvl w:val="1"/>
      </w:pPr>
      <w:r>
        <w:lastRenderedPageBreak/>
        <w:t>Приложение N</w:t>
      </w:r>
      <w:r w:rsidR="00CF1D6B">
        <w:t>2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>
      <w:pPr>
        <w:tabs>
          <w:tab w:val="left" w:pos="3765"/>
        </w:tabs>
        <w:rPr>
          <w:sz w:val="28"/>
          <w:szCs w:val="28"/>
        </w:rPr>
      </w:pPr>
    </w:p>
    <w:p w:rsidR="00006FFF" w:rsidRDefault="007B7F9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006FFF" w:rsidRDefault="00006FFF">
      <w:pPr>
        <w:tabs>
          <w:tab w:val="left" w:pos="3765"/>
        </w:tabs>
        <w:jc w:val="center"/>
        <w:rPr>
          <w:sz w:val="28"/>
          <w:szCs w:val="28"/>
        </w:rPr>
      </w:pP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 w:rsidR="00006FFF" w:rsidRDefault="00006FF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06FFF" w:rsidRDefault="00006FF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430EC5" w:rsidRDefault="00430EC5"/>
    <w:p w:rsidR="00006FFF" w:rsidRDefault="00006FFF"/>
    <w:p w:rsidR="00006FFF" w:rsidRDefault="007B7F9E">
      <w:pPr>
        <w:widowControl w:val="0"/>
        <w:ind w:firstLine="5387"/>
        <w:outlineLvl w:val="1"/>
      </w:pPr>
      <w:r>
        <w:lastRenderedPageBreak/>
        <w:t>Приложение N</w:t>
      </w:r>
      <w:r w:rsidR="00CF1D6B">
        <w:t>3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7B7F9E">
      <w:pPr>
        <w:tabs>
          <w:tab w:val="left" w:pos="3615"/>
        </w:tabs>
      </w:pPr>
      <w:r>
        <w:tab/>
      </w:r>
    </w:p>
    <w:p w:rsidR="00006FFF" w:rsidRDefault="00006FFF"/>
    <w:p w:rsidR="00006FFF" w:rsidRDefault="00006FFF"/>
    <w:p w:rsidR="00006FFF" w:rsidRDefault="007B7F9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006FFF" w:rsidRDefault="00006FFF">
      <w:pPr>
        <w:tabs>
          <w:tab w:val="left" w:pos="3765"/>
        </w:tabs>
        <w:jc w:val="center"/>
        <w:rPr>
          <w:sz w:val="28"/>
          <w:szCs w:val="28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Layout w:type="fixed"/>
        <w:tblLook w:val="04A0"/>
      </w:tblPr>
      <w:tblGrid>
        <w:gridCol w:w="5247"/>
        <w:gridCol w:w="1416"/>
        <w:gridCol w:w="1559"/>
        <w:gridCol w:w="1560"/>
      </w:tblGrid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Вид работ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Единичная расценка, руб.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006FFF">
            <w:pPr>
              <w:widowControl w:val="0"/>
              <w:jc w:val="both"/>
            </w:pPr>
          </w:p>
          <w:p w:rsidR="00006FFF" w:rsidRDefault="007B7F9E">
            <w:pPr>
              <w:widowControl w:val="0"/>
              <w:jc w:val="both"/>
            </w:pPr>
            <w:r>
              <w:t>2 252,00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006FFF">
            <w:pPr>
              <w:widowControl w:val="0"/>
              <w:jc w:val="both"/>
            </w:pPr>
          </w:p>
          <w:p w:rsidR="00006FFF" w:rsidRDefault="007B7F9E">
            <w:pPr>
              <w:widowControl w:val="0"/>
              <w:jc w:val="both"/>
            </w:pPr>
            <w:r>
              <w:t>1 200,00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7B7F9E">
            <w:pPr>
              <w:widowControl w:val="0"/>
              <w:jc w:val="both"/>
            </w:pPr>
            <w:r>
              <w:t>2 120,00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7B7F9E">
            <w:pPr>
              <w:widowControl w:val="0"/>
              <w:jc w:val="both"/>
            </w:pPr>
            <w:r>
              <w:t>1 300,00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Строительство тротуара (пешеходной дорожки)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7B7F9E">
            <w:pPr>
              <w:widowControl w:val="0"/>
              <w:jc w:val="both"/>
            </w:pPr>
            <w:r>
              <w:t>1 700,00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7B7F9E">
            <w:pPr>
              <w:widowControl w:val="0"/>
              <w:jc w:val="both"/>
            </w:pPr>
            <w:r>
              <w:t>900,00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 1 600,00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 500,00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Поднятие горловины колодца (без стоимости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3 233,00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Поднятие горловины колодца (со стоимостью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8 334,00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скамейки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1 512,00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скамейки без спинки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скамейки со спинкой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6 200,00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урны для мусора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1 700,00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наружного освещения по опорам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1 046,00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Стоимость наружного освещения над подъездом дома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773,00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Стоимость наружного освещения под землей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2 242,00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светодиодного светильника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7 000,00 до 15 000,00</w:t>
            </w:r>
          </w:p>
          <w:p w:rsidR="00006FFF" w:rsidRDefault="007B7F9E">
            <w:pPr>
              <w:widowControl w:val="0"/>
              <w:jc w:val="both"/>
            </w:pPr>
            <w:r>
              <w:t>(зависит от мощности)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шкафа управления (освещение)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22 000,00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Посадка зеленых насаждений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Кустарник</w:t>
            </w:r>
          </w:p>
          <w:p w:rsidR="00006FFF" w:rsidRDefault="007B7F9E">
            <w:pPr>
              <w:widowControl w:val="0"/>
              <w:jc w:val="both"/>
            </w:pPr>
            <w:r>
              <w:t>372,55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Дерево</w:t>
            </w:r>
          </w:p>
          <w:p w:rsidR="00006FFF" w:rsidRDefault="007B7F9E">
            <w:pPr>
              <w:widowControl w:val="0"/>
              <w:jc w:val="both"/>
            </w:pPr>
            <w:r>
              <w:t>1 121,31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Посев газона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387,00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Создание цветника (многолетники)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1 438,00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Снос зеленых насаждений, в том числе представляющих угрозу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Обрезка (кронирование) деревьев и кустарников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512,00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Снос строений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997,00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м. п.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4 645,98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Устройство пандуса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81 624,00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евроконтейнера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20 642,00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lastRenderedPageBreak/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36 123,00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Детская игровая площадка (комплекс):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99 000,00 до 199 000,00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качели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16 000,00 до 28 000,00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горка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1шт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2 700,00 до 85 000,00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качалка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12 000,00 – 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песочница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10 000,00- 30 000,00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домик-беседка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25 000,00 – 75 000,00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карусель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20 000,00-30 000,00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Детский спортивный комплекс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65 000,00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Спортивная площадка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894 000,00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Теннисный стол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17 160,00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Ударопоглощающее покрытие (для площадок)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1 360,00 -2 490,00</w:t>
            </w:r>
          </w:p>
        </w:tc>
      </w:tr>
    </w:tbl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430EC5" w:rsidRDefault="00430EC5"/>
    <w:p w:rsidR="00430EC5" w:rsidRDefault="00430EC5"/>
    <w:p w:rsidR="00006FFF" w:rsidRDefault="00006FFF"/>
    <w:p w:rsidR="00006FFF" w:rsidRDefault="00006FFF"/>
    <w:p w:rsidR="00006FFF" w:rsidRDefault="008373AB">
      <w:pPr>
        <w:widowControl w:val="0"/>
        <w:ind w:firstLine="5387"/>
        <w:outlineLvl w:val="1"/>
      </w:pPr>
      <w:r>
        <w:lastRenderedPageBreak/>
        <w:t>Приложение N4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7B7F9E">
      <w:pPr>
        <w:pStyle w:val="3"/>
        <w:shd w:val="clear" w:color="auto" w:fill="auto"/>
        <w:spacing w:after="0" w:line="298" w:lineRule="exact"/>
        <w:ind w:left="20" w:right="20" w:firstLine="1120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006FFF" w:rsidRDefault="00006FFF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006FFF" w:rsidRDefault="007B7F9E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>
      <w:pPr>
        <w:sectPr w:rsidR="00006FFF" w:rsidSect="00430EC5">
          <w:headerReference w:type="default" r:id="rId10"/>
          <w:pgSz w:w="11906" w:h="16838"/>
          <w:pgMar w:top="814" w:right="567" w:bottom="1134" w:left="1701" w:header="0" w:footer="0" w:gutter="0"/>
          <w:pgNumType w:start="3"/>
          <w:cols w:space="720"/>
          <w:formProt w:val="0"/>
          <w:docGrid w:linePitch="100"/>
        </w:sectPr>
      </w:pPr>
    </w:p>
    <w:p w:rsidR="00006FFF" w:rsidRDefault="007B7F9E">
      <w:pPr>
        <w:widowControl w:val="0"/>
        <w:ind w:firstLine="10490"/>
        <w:outlineLvl w:val="1"/>
      </w:pPr>
      <w:bookmarkStart w:id="86" w:name="Par219"/>
      <w:bookmarkEnd w:id="86"/>
      <w:r>
        <w:lastRenderedPageBreak/>
        <w:t xml:space="preserve">Приложение № </w:t>
      </w:r>
      <w:r w:rsidR="008373AB">
        <w:t>5</w:t>
      </w:r>
    </w:p>
    <w:p w:rsidR="00006FFF" w:rsidRDefault="007B7F9E">
      <w:pPr>
        <w:widowControl w:val="0"/>
        <w:ind w:firstLine="10490"/>
      </w:pPr>
      <w:r>
        <w:t xml:space="preserve">к муниципальной программе </w:t>
      </w:r>
    </w:p>
    <w:p w:rsidR="00006FFF" w:rsidRDefault="007B7F9E">
      <w:pPr>
        <w:widowControl w:val="0"/>
        <w:ind w:firstLine="10490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  <w:bookmarkStart w:id="87" w:name="Par224"/>
      <w:bookmarkEnd w:id="87"/>
    </w:p>
    <w:p w:rsidR="00006FFF" w:rsidRDefault="00006FFF">
      <w:pPr>
        <w:widowControl w:val="0"/>
        <w:jc w:val="center"/>
      </w:pPr>
    </w:p>
    <w:p w:rsidR="00006FFF" w:rsidRDefault="007B7F9E">
      <w:pPr>
        <w:widowControl w:val="0"/>
        <w:jc w:val="center"/>
      </w:pPr>
      <w:r>
        <w:t>ЦЕЛИ, ЗАДАЧИ И ЦЕЛЕВЫЕ ПОКАЗАТЕЛИ</w:t>
      </w:r>
    </w:p>
    <w:p w:rsidR="00006FFF" w:rsidRDefault="007B7F9E">
      <w:pPr>
        <w:widowControl w:val="0"/>
        <w:jc w:val="center"/>
      </w:pPr>
      <w:r>
        <w:t>РЕАЛИЗАЦИИ МУНИЦИПАЛЬНОЙ ПРОГРАММЫ</w:t>
      </w:r>
    </w:p>
    <w:p w:rsidR="00006FFF" w:rsidRDefault="007B7F9E">
      <w:pPr>
        <w:widowControl w:val="0"/>
        <w:jc w:val="center"/>
      </w:pPr>
      <w:r>
        <w:t>"</w:t>
      </w:r>
      <w:r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006FFF" w:rsidRDefault="00006FFF">
      <w:pPr>
        <w:widowControl w:val="0"/>
        <w:jc w:val="both"/>
      </w:pPr>
    </w:p>
    <w:tbl>
      <w:tblPr>
        <w:tblW w:w="141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402"/>
        <w:gridCol w:w="1139"/>
        <w:gridCol w:w="704"/>
        <w:gridCol w:w="713"/>
        <w:gridCol w:w="704"/>
        <w:gridCol w:w="714"/>
        <w:gridCol w:w="9"/>
        <w:gridCol w:w="807"/>
        <w:gridCol w:w="44"/>
        <w:gridCol w:w="708"/>
        <w:gridCol w:w="43"/>
        <w:gridCol w:w="22"/>
        <w:gridCol w:w="772"/>
        <w:gridCol w:w="45"/>
        <w:gridCol w:w="721"/>
        <w:gridCol w:w="31"/>
        <w:gridCol w:w="65"/>
        <w:gridCol w:w="698"/>
        <w:gridCol w:w="31"/>
        <w:gridCol w:w="91"/>
        <w:gridCol w:w="1984"/>
      </w:tblGrid>
      <w:tr w:rsidR="00006FFF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 N</w:t>
            </w:r>
          </w:p>
          <w:p w:rsidR="00006FFF" w:rsidRDefault="007B7F9E">
            <w:pPr>
              <w:widowControl w:val="0"/>
            </w:pPr>
            <w: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Наименование цели</w:t>
            </w:r>
          </w:p>
          <w:p w:rsidR="00006FFF" w:rsidRDefault="007B7F9E">
            <w:pPr>
              <w:widowControl w:val="0"/>
            </w:pPr>
            <w:r>
              <w:t xml:space="preserve">  (целей) и задач,</w:t>
            </w:r>
          </w:p>
          <w:p w:rsidR="00006FFF" w:rsidRDefault="007B7F9E">
            <w:pPr>
              <w:widowControl w:val="0"/>
            </w:pPr>
            <w:r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Единица</w:t>
            </w:r>
          </w:p>
          <w:p w:rsidR="00006FFF" w:rsidRDefault="007B7F9E">
            <w:pPr>
              <w:widowControl w:val="0"/>
            </w:pPr>
            <w:r>
              <w:t>измерения</w:t>
            </w:r>
          </w:p>
        </w:tc>
        <w:tc>
          <w:tcPr>
            <w:tcW w:w="69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     Значение целевого показателя реализации</w:t>
            </w:r>
          </w:p>
          <w:p w:rsidR="00006FFF" w:rsidRDefault="007B7F9E">
            <w:pPr>
              <w:widowControl w:val="0"/>
            </w:pPr>
            <w:r>
              <w:t xml:space="preserve">             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Источник</w:t>
            </w:r>
          </w:p>
          <w:p w:rsidR="00006FFF" w:rsidRDefault="007B7F9E">
            <w:pPr>
              <w:widowControl w:val="0"/>
            </w:pPr>
            <w:r>
              <w:t xml:space="preserve"> значений</w:t>
            </w:r>
          </w:p>
          <w:p w:rsidR="00006FFF" w:rsidRDefault="007B7F9E">
            <w:pPr>
              <w:widowControl w:val="0"/>
            </w:pPr>
            <w:r>
              <w:t>показателей</w:t>
            </w:r>
          </w:p>
          <w:p w:rsidR="00006FFF" w:rsidRDefault="00372E64">
            <w:pPr>
              <w:widowControl w:val="0"/>
            </w:pPr>
            <w:hyperlink r:id="rId11" w:anchor="Par280" w:history="1">
              <w:r w:rsidR="007B7F9E">
                <w:t>&lt;**&gt;</w:t>
              </w:r>
            </w:hyperlink>
          </w:p>
        </w:tc>
      </w:tr>
      <w:tr w:rsidR="00006FFF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2016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2017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2018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2019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13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  <w:outlineLvl w:val="2"/>
            </w:pPr>
            <w:r>
              <w:t>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outlineLvl w:val="2"/>
            </w:pPr>
            <w:bookmarkStart w:id="88" w:name="Par237"/>
            <w:bookmarkEnd w:id="88"/>
            <w: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1. Повышение качества и безопасности проживания населения.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 w:rsidR="00006FFF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1.</w:t>
            </w:r>
          </w:p>
          <w:p w:rsidR="00006FFF" w:rsidRDefault="007B7F9E">
            <w:pPr>
              <w:widowControl w:val="0"/>
            </w:pPr>
            <w: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rPr>
                <w:color w:val="FF0000"/>
              </w:rPr>
            </w:pPr>
          </w:p>
        </w:tc>
      </w:tr>
      <w:tr w:rsidR="00006FFF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2.</w:t>
            </w:r>
          </w:p>
          <w:p w:rsidR="00006FFF" w:rsidRDefault="007B7F9E">
            <w:pPr>
              <w:widowControl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rPr>
                <w:color w:val="FF0000"/>
              </w:rPr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2. Повышение энергоэффективности использования энергетических ресурсов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3.</w:t>
            </w:r>
          </w:p>
          <w:p w:rsidR="00006FFF" w:rsidRDefault="007B7F9E">
            <w:pPr>
              <w:widowControl w:val="0"/>
            </w:pPr>
            <w:r>
              <w:rPr>
                <w:rFonts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3. Исполнение иных полномочий в жилищном фонде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4.</w:t>
            </w:r>
          </w:p>
          <w:p w:rsidR="00006FFF" w:rsidRDefault="007B7F9E">
            <w:pPr>
              <w:widowControl w:val="0"/>
            </w:pPr>
            <w:r>
              <w:t xml:space="preserve">Снижение количества обращений граждан на ненадлежащее качество </w:t>
            </w:r>
            <w:r>
              <w:lastRenderedPageBreak/>
              <w:t>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  <w:outlineLvl w:val="2"/>
            </w:pPr>
            <w:r>
              <w:lastRenderedPageBreak/>
              <w:t>11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outlineLvl w:val="2"/>
            </w:pPr>
            <w:bookmarkStart w:id="89" w:name="Par257"/>
            <w:bookmarkEnd w:id="89"/>
            <w:r>
              <w:t xml:space="preserve">                                      ПОДПРОГРАММА 2. «Развитие коммунальной инфраструктуры»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2 . Повышение надежности систем и качества, предоставляемых коммунальных услуг.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006FFF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5.</w:t>
            </w:r>
          </w:p>
          <w:p w:rsidR="00006FFF" w:rsidRDefault="007B7F9E">
            <w:pPr>
              <w:widowControl w:val="0"/>
            </w:pPr>
            <w:r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6.</w:t>
            </w:r>
          </w:p>
          <w:p w:rsidR="00006FFF" w:rsidRDefault="007B7F9E">
            <w:pPr>
              <w:widowControl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5. Развитие системы энергоснабжения</w:t>
            </w: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7.</w:t>
            </w:r>
          </w:p>
          <w:p w:rsidR="00006FFF" w:rsidRDefault="007B7F9E">
            <w:pPr>
              <w:widowControl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6. Повышение энергоэффективности использования энергетических ресурсов</w:t>
            </w: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8.</w:t>
            </w:r>
          </w:p>
          <w:p w:rsidR="00006FFF" w:rsidRDefault="007B7F9E">
            <w:pPr>
              <w:widowControl w:val="0"/>
            </w:pPr>
            <w:r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41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9.</w:t>
            </w:r>
          </w:p>
          <w:p w:rsidR="00006FFF" w:rsidRDefault="007B7F9E">
            <w:pPr>
              <w:widowControl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3.  «Формирование современной городской среды»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3. Повышение уровня благоустройства городского округа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10.</w:t>
            </w:r>
          </w:p>
          <w:p w:rsidR="00006FFF" w:rsidRDefault="007B7F9E">
            <w:pPr>
              <w:widowControl w:val="0"/>
            </w:pPr>
            <w:r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26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4.  «Развитие дорожной деятельности»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4. Сохранение и развитие  автомобильных дорог и улично-дорожной сети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11.</w:t>
            </w:r>
          </w:p>
          <w:p w:rsidR="00006FFF" w:rsidRDefault="007B7F9E">
            <w:pPr>
              <w:widowControl w:val="0"/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12.</w:t>
            </w:r>
          </w:p>
          <w:p w:rsidR="00006FFF" w:rsidRDefault="007B7F9E">
            <w:pPr>
              <w:widowControl w:val="0"/>
            </w:pPr>
            <w: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13.</w:t>
            </w:r>
          </w:p>
          <w:p w:rsidR="00006FFF" w:rsidRDefault="007B7F9E">
            <w:pPr>
              <w:widowControl w:val="0"/>
            </w:pPr>
            <w: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12,8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21,7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Цель 5. Повышение энергоэффективности систем коммунальной инфраструктуры.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Целевой показатель 16. Обеспечение устойчивого функционирования систем </w:t>
            </w:r>
            <w:r>
              <w:lastRenderedPageBreak/>
              <w:t>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</w:tbl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7B7F9E">
      <w:pPr>
        <w:spacing w:after="200" w:line="276" w:lineRule="auto"/>
      </w:pPr>
      <w:r>
        <w:br w:type="page"/>
      </w:r>
    </w:p>
    <w:p w:rsidR="00006FFF" w:rsidRDefault="007B7F9E">
      <w:pPr>
        <w:widowControl w:val="0"/>
        <w:ind w:firstLine="10490"/>
        <w:outlineLvl w:val="1"/>
      </w:pPr>
      <w:r>
        <w:lastRenderedPageBreak/>
        <w:t xml:space="preserve">Приложение N </w:t>
      </w:r>
      <w:r w:rsidR="008373AB">
        <w:t>6</w:t>
      </w:r>
    </w:p>
    <w:p w:rsidR="00006FFF" w:rsidRDefault="007B7F9E">
      <w:pPr>
        <w:widowControl w:val="0"/>
        <w:ind w:firstLine="10490"/>
      </w:pPr>
      <w:r>
        <w:t xml:space="preserve">к муниципальной программе </w:t>
      </w:r>
    </w:p>
    <w:p w:rsidR="00006FFF" w:rsidRDefault="007B7F9E">
      <w:pPr>
        <w:widowControl w:val="0"/>
        <w:ind w:firstLine="10490"/>
      </w:pPr>
      <w:r>
        <w:t xml:space="preserve">Развитие городского хозяйства» </w:t>
      </w:r>
    </w:p>
    <w:p w:rsidR="00006FFF" w:rsidRDefault="00006FFF">
      <w:pPr>
        <w:widowControl w:val="0"/>
        <w:jc w:val="both"/>
      </w:pPr>
    </w:p>
    <w:p w:rsidR="00006FFF" w:rsidRDefault="007B7F9E">
      <w:pPr>
        <w:widowControl w:val="0"/>
        <w:jc w:val="center"/>
      </w:pPr>
      <w:bookmarkStart w:id="90" w:name="Par582"/>
      <w:bookmarkEnd w:id="90"/>
      <w:r>
        <w:t>ИНФОРМАЦИЯ</w:t>
      </w:r>
    </w:p>
    <w:p w:rsidR="00006FFF" w:rsidRDefault="007B7F9E">
      <w:pPr>
        <w:widowControl w:val="0"/>
        <w:jc w:val="center"/>
      </w:pPr>
      <w:r>
        <w:t xml:space="preserve">О РЕЗУЛЬТАТАХ ПРОВЕДЕННОГО ОБЩЕСТВЕННОГО ОБСУЖДЕНИЯ </w:t>
      </w:r>
    </w:p>
    <w:p w:rsidR="00006FFF" w:rsidRDefault="007B7F9E">
      <w:pPr>
        <w:widowControl w:val="0"/>
        <w:jc w:val="center"/>
      </w:pPr>
      <w:r>
        <w:t>ПРОЕКТА МУНИЦИПАЛЬНОЙ ПРОГРАММЫ</w:t>
      </w:r>
    </w:p>
    <w:p w:rsidR="00006FFF" w:rsidRDefault="007B7F9E">
      <w:pPr>
        <w:widowControl w:val="0"/>
        <w:jc w:val="center"/>
      </w:pPr>
      <w:r>
        <w:t>«Развитие городского хозяйства»</w:t>
      </w: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976"/>
        <w:gridCol w:w="4251"/>
        <w:gridCol w:w="3119"/>
        <w:gridCol w:w="3121"/>
      </w:tblGrid>
      <w:tr w:rsidR="00006FFF">
        <w:trPr>
          <w:trHeight w:val="10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N</w:t>
            </w:r>
          </w:p>
          <w:p w:rsidR="00006FFF" w:rsidRDefault="007B7F9E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Отправитель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Содержание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Информация</w:t>
            </w:r>
          </w:p>
          <w:p w:rsidR="00006FFF" w:rsidRDefault="007B7F9E">
            <w:pPr>
              <w:widowControl w:val="0"/>
              <w:jc w:val="center"/>
            </w:pPr>
            <w:r>
              <w:t>о принятии /</w:t>
            </w:r>
          </w:p>
          <w:p w:rsidR="00006FFF" w:rsidRDefault="007B7F9E">
            <w:pPr>
              <w:widowControl w:val="0"/>
              <w:jc w:val="center"/>
            </w:pPr>
            <w:r>
              <w:t>отклонении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Причины</w:t>
            </w:r>
          </w:p>
          <w:p w:rsidR="00006FFF" w:rsidRDefault="007B7F9E">
            <w:pPr>
              <w:widowControl w:val="0"/>
              <w:jc w:val="center"/>
            </w:pPr>
            <w:r>
              <w:t>отклонения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</w:tr>
      <w:tr w:rsidR="00006FFF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</w:tr>
    </w:tbl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EC0D04"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100 000,00 - поступление по договору пожертвования. 2 398 539,98 - недостроенный объект благоустройства по решению суда. 1 020 239,00 - дополнительные работы по укреплению стелы по решению суда. 227 960,00 - оборудование детского сада приведенного в соответствие с фактическими поставленным по решению суда. </w:t>
      </w:r>
    </w:p>
    <w:sectPr w:rsidR="00006FFF" w:rsidSect="00006FFF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52" w:rsidRDefault="00D32252" w:rsidP="00D21B84">
      <w:r>
        <w:separator/>
      </w:r>
    </w:p>
  </w:endnote>
  <w:endnote w:type="continuationSeparator" w:id="1">
    <w:p w:rsidR="00D32252" w:rsidRDefault="00D32252" w:rsidP="00D2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52" w:rsidRDefault="00D32252" w:rsidP="00D21B84">
      <w:r>
        <w:separator/>
      </w:r>
    </w:p>
  </w:footnote>
  <w:footnote w:type="continuationSeparator" w:id="1">
    <w:p w:rsidR="00D32252" w:rsidRDefault="00D32252" w:rsidP="00D2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71"/>
      <w:docPartObj>
        <w:docPartGallery w:val="Page Numbers (Top of Page)"/>
        <w:docPartUnique/>
      </w:docPartObj>
    </w:sdtPr>
    <w:sdtContent>
      <w:p w:rsidR="00926EF2" w:rsidRDefault="00926EF2">
        <w:pPr>
          <w:pStyle w:val="af6"/>
          <w:jc w:val="center"/>
        </w:pPr>
      </w:p>
      <w:p w:rsidR="00926EF2" w:rsidRDefault="00372E64">
        <w:pPr>
          <w:pStyle w:val="af6"/>
          <w:jc w:val="center"/>
        </w:pPr>
        <w:fldSimple w:instr=" PAGE   \* MERGEFORMAT ">
          <w:r w:rsidR="00DA3243">
            <w:rPr>
              <w:noProof/>
            </w:rPr>
            <w:t>26</w:t>
          </w:r>
        </w:fldSimple>
      </w:p>
    </w:sdtContent>
  </w:sdt>
  <w:p w:rsidR="00926EF2" w:rsidRDefault="00926EF2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06FFF"/>
    <w:rsid w:val="00006FFF"/>
    <w:rsid w:val="00175703"/>
    <w:rsid w:val="001B37A8"/>
    <w:rsid w:val="001D26B1"/>
    <w:rsid w:val="001D6FA4"/>
    <w:rsid w:val="002136B3"/>
    <w:rsid w:val="00266396"/>
    <w:rsid w:val="00267293"/>
    <w:rsid w:val="002A048D"/>
    <w:rsid w:val="002B123F"/>
    <w:rsid w:val="002E3712"/>
    <w:rsid w:val="00301419"/>
    <w:rsid w:val="003260BC"/>
    <w:rsid w:val="003551C2"/>
    <w:rsid w:val="00372E64"/>
    <w:rsid w:val="003959D7"/>
    <w:rsid w:val="003B4E46"/>
    <w:rsid w:val="003E59DC"/>
    <w:rsid w:val="00430EC5"/>
    <w:rsid w:val="00435C40"/>
    <w:rsid w:val="004B3889"/>
    <w:rsid w:val="004C2DEB"/>
    <w:rsid w:val="00502E0E"/>
    <w:rsid w:val="00513945"/>
    <w:rsid w:val="005263D7"/>
    <w:rsid w:val="005B2D69"/>
    <w:rsid w:val="005B78AB"/>
    <w:rsid w:val="005D0E85"/>
    <w:rsid w:val="0061337A"/>
    <w:rsid w:val="00625AF2"/>
    <w:rsid w:val="00630D81"/>
    <w:rsid w:val="00662F13"/>
    <w:rsid w:val="00676E90"/>
    <w:rsid w:val="006D727C"/>
    <w:rsid w:val="007273F1"/>
    <w:rsid w:val="007508FB"/>
    <w:rsid w:val="0076147D"/>
    <w:rsid w:val="007B2D89"/>
    <w:rsid w:val="007B33BA"/>
    <w:rsid w:val="007B7F9E"/>
    <w:rsid w:val="0081080B"/>
    <w:rsid w:val="00820EC9"/>
    <w:rsid w:val="00823AC6"/>
    <w:rsid w:val="008373AB"/>
    <w:rsid w:val="0087197E"/>
    <w:rsid w:val="00893C5D"/>
    <w:rsid w:val="008E6391"/>
    <w:rsid w:val="00926EF2"/>
    <w:rsid w:val="0097571A"/>
    <w:rsid w:val="009C3441"/>
    <w:rsid w:val="009E617F"/>
    <w:rsid w:val="009F1E02"/>
    <w:rsid w:val="00A0044C"/>
    <w:rsid w:val="00A13383"/>
    <w:rsid w:val="00A22C0C"/>
    <w:rsid w:val="00AD1DE3"/>
    <w:rsid w:val="00B72518"/>
    <w:rsid w:val="00B81306"/>
    <w:rsid w:val="00B937AF"/>
    <w:rsid w:val="00BF4BF3"/>
    <w:rsid w:val="00C8294D"/>
    <w:rsid w:val="00CC26E7"/>
    <w:rsid w:val="00CF1D6B"/>
    <w:rsid w:val="00CF5D4F"/>
    <w:rsid w:val="00D21B84"/>
    <w:rsid w:val="00D32252"/>
    <w:rsid w:val="00D636E9"/>
    <w:rsid w:val="00DA3243"/>
    <w:rsid w:val="00EB0EAF"/>
    <w:rsid w:val="00EC0D04"/>
    <w:rsid w:val="00EC22ED"/>
    <w:rsid w:val="00F15CE2"/>
    <w:rsid w:val="00F675B9"/>
    <w:rsid w:val="00FA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C17E9C"/>
    <w:rPr>
      <w:sz w:val="24"/>
      <w:szCs w:val="24"/>
    </w:rPr>
  </w:style>
  <w:style w:type="character" w:customStyle="1" w:styleId="11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customStyle="1" w:styleId="Caption">
    <w:name w:val="Caption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006FFF"/>
    <w:pPr>
      <w:suppressLineNumbers/>
    </w:pPr>
    <w:rPr>
      <w:rFonts w:cs="Mangal"/>
    </w:rPr>
  </w:style>
  <w:style w:type="paragraph" w:customStyle="1" w:styleId="af">
    <w:name w:val="Верхний и нижний колонтитулы"/>
    <w:basedOn w:val="a"/>
    <w:qFormat/>
    <w:rsid w:val="00006FFF"/>
  </w:style>
  <w:style w:type="paragraph" w:customStyle="1" w:styleId="Header">
    <w:name w:val="Header"/>
    <w:basedOn w:val="a"/>
    <w:semiHidden/>
    <w:unhideWhenUsed/>
    <w:rsid w:val="00C17E9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semiHidden/>
    <w:unhideWhenUsed/>
    <w:rsid w:val="00C17E9C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1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link w:val="NoSpacingChar"/>
    <w:qFormat/>
    <w:rsid w:val="00C17E9C"/>
    <w:rPr>
      <w:rFonts w:cs="Calibri"/>
      <w:sz w:val="24"/>
    </w:rPr>
  </w:style>
  <w:style w:type="paragraph" w:styleId="af2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table" w:styleId="af5">
    <w:name w:val="Table Grid"/>
    <w:basedOn w:val="a1"/>
    <w:rsid w:val="00C17E9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3"/>
    <w:uiPriority w:val="99"/>
    <w:unhideWhenUsed/>
    <w:rsid w:val="00D21B8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6"/>
    <w:semiHidden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4"/>
    <w:semiHidden/>
    <w:unhideWhenUsed/>
    <w:rsid w:val="00D21B8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7"/>
    <w:semiHidden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CBE4-2556-4ED6-A02B-65FD7E12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6199</TotalTime>
  <Pages>36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228</cp:revision>
  <cp:lastPrinted>2021-06-30T05:18:00Z</cp:lastPrinted>
  <dcterms:created xsi:type="dcterms:W3CDTF">2015-08-31T10:20:00Z</dcterms:created>
  <dcterms:modified xsi:type="dcterms:W3CDTF">2021-06-30T06:21:00Z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