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hd w:val="clear" w:color="auto" w:fill="auto"/>
        <w:spacing w:lineRule="auto" w:line="240"/>
        <w:ind w:left="453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>
      <w:pPr>
        <w:pStyle w:val="Style19"/>
        <w:shd w:val="clear" w:color="auto" w:fill="auto"/>
        <w:spacing w:lineRule="auto" w:line="240"/>
        <w:ind w:left="453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администрации </w:t>
      </w:r>
    </w:p>
    <w:p>
      <w:pPr>
        <w:pStyle w:val="Style19"/>
        <w:shd w:val="clear" w:color="auto" w:fill="auto"/>
        <w:spacing w:lineRule="auto" w:line="240"/>
        <w:ind w:left="453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городского округа ЗАТО Свободный </w:t>
        <w:tab/>
      </w:r>
    </w:p>
    <w:p>
      <w:pPr>
        <w:pStyle w:val="Style19"/>
        <w:shd w:val="clear" w:color="auto" w:fill="auto"/>
        <w:spacing w:lineRule="auto" w:line="240"/>
        <w:ind w:left="453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>
        <w:rPr>
          <w:rFonts w:eastAsia="Times New Roman" w:cs="Times New Roman"/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» декабря 2020 года № </w:t>
      </w:r>
      <w:r>
        <w:rPr>
          <w:color w:val="000000"/>
          <w:sz w:val="24"/>
          <w:szCs w:val="24"/>
        </w:rPr>
        <w:t>655</w:t>
      </w:r>
    </w:p>
    <w:p>
      <w:pPr>
        <w:pStyle w:val="Style19"/>
        <w:shd w:val="clear" w:color="auto" w:fill="auto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1"/>
        <w:shd w:val="clear" w:color="auto" w:fill="auto"/>
        <w:spacing w:lineRule="auto" w:line="240"/>
        <w:rPr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>ПОРЯДОК</w:t>
      </w:r>
    </w:p>
    <w:p>
      <w:pPr>
        <w:pStyle w:val="211"/>
        <w:shd w:val="clear" w:color="auto" w:fill="auto"/>
        <w:spacing w:lineRule="auto" w:line="240"/>
        <w:rPr>
          <w:color w:val="000000"/>
          <w:sz w:val="28"/>
          <w:szCs w:val="28"/>
        </w:rPr>
      </w:pPr>
      <w:r>
        <w:rPr>
          <w:rStyle w:val="21"/>
          <w:b/>
          <w:bCs/>
          <w:color w:val="000000"/>
          <w:sz w:val="28"/>
          <w:szCs w:val="28"/>
        </w:rPr>
        <w:t xml:space="preserve">ОСУЩЕСТВЛЕНИЯ ПРЕТЕНЗИОННО-ИСКОВОЙ РАБОТЫ В ОТНОШЕНИИ ПЛАТЕЖЕЙ ЗА ПОЛЬЗОВАНИЕ ЖИЛЫМИ ПОМЕЩЕНИЯМИ ПО ДОГОВОРАМ НАЙМА </w:t>
      </w:r>
    </w:p>
    <w:p>
      <w:pPr>
        <w:pStyle w:val="Style19"/>
        <w:shd w:val="clear" w:color="auto" w:fill="auto"/>
        <w:tabs>
          <w:tab w:val="clear" w:pos="708"/>
          <w:tab w:val="left" w:pos="3999" w:leader="none"/>
        </w:tabs>
        <w:spacing w:lineRule="auto" w:line="240"/>
        <w:ind w:hang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numPr>
          <w:ilvl w:val="0"/>
          <w:numId w:val="1"/>
        </w:numPr>
        <w:shd w:val="clear" w:color="auto" w:fill="auto"/>
        <w:tabs>
          <w:tab w:val="clear" w:pos="708"/>
          <w:tab w:val="left" w:pos="0" w:leader="none"/>
          <w:tab w:val="left" w:pos="3999" w:leader="none"/>
        </w:tabs>
        <w:spacing w:lineRule="auto" w:line="240"/>
        <w:ind w:left="3261" w:hanging="436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>
      <w:pPr>
        <w:pStyle w:val="Style19"/>
        <w:shd w:val="clear" w:color="auto" w:fill="auto"/>
        <w:tabs>
          <w:tab w:val="clear" w:pos="708"/>
          <w:tab w:val="left" w:pos="3999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fill="FFFFFF" w:val="clear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осуществления претензионно-исковой работы в отношении платежей за пользование жилыми помещениями по договорам найма (далее – Порядок) устанавливает порядок организации и ведения претензионной и исковой работы в администрации городского округа ЗАТО Свободный (далее – администрация).</w:t>
      </w:r>
    </w:p>
    <w:p>
      <w:pPr>
        <w:pStyle w:val="Style19"/>
        <w:shd w:val="clear" w:color="auto" w:fill="auto"/>
        <w:tabs>
          <w:tab w:val="clear" w:pos="708"/>
          <w:tab w:val="left" w:pos="670" w:leader="none"/>
        </w:tabs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Порядок разработан в соответствии с Гражданским кодексом РФ (далее – ГК РФ), Жилищным кодексом РФ (далее – ЖК РФ), Гражданским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процессуальным кодексом РФ (далее – ГПК РФ), Уставом городского округа ЗАТО Свободный.</w:t>
      </w:r>
    </w:p>
    <w:p>
      <w:pPr>
        <w:pStyle w:val="Style19"/>
        <w:shd w:val="clear" w:color="auto" w:fill="auto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Настоящий Порядок регламентирует выполнение лицами ответственными за ведение претензионно-исковой работы в отношении платежей за пользование жилыми помещениями по договорам найма.</w:t>
      </w:r>
    </w:p>
    <w:p>
      <w:pPr>
        <w:pStyle w:val="Style19"/>
        <w:shd w:val="clear" w:color="auto" w:fill="auto"/>
        <w:tabs>
          <w:tab w:val="clear" w:pos="708"/>
          <w:tab w:val="left" w:pos="670" w:leader="none"/>
        </w:tabs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Настоящий Порядок обязателен к исполнению </w:t>
      </w:r>
      <w:r>
        <w:rPr>
          <w:sz w:val="28"/>
          <w:szCs w:val="28"/>
        </w:rPr>
        <w:t>всеми лицами ответственными за ведение</w:t>
      </w:r>
      <w:r>
        <w:rPr>
          <w:color w:val="000000"/>
          <w:sz w:val="28"/>
          <w:szCs w:val="28"/>
        </w:rPr>
        <w:t xml:space="preserve"> претензионно-исковой работы и уполномоченной организацией, согласно муниципального контракта.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</w:t>
        <w:tab/>
        <w:t>Претензионно-исковая работа должна обеспечивать: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1.5.1.</w:t>
        <w:tab/>
        <w:t>экономические интересы администрации путем снижения дебиторской задолженности;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1.5.2.</w:t>
        <w:tab/>
        <w:t>защиту и восстановление имущественных прав и охраняемых законом интересов администрации;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</w:t>
        <w:tab/>
        <w:t>Целью ведения претензионно-исковой работы является: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1.6.1.</w:t>
        <w:tab/>
        <w:t>предупреждение или устранение нарушений интересов администрации в сфере жилищных отношений;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1.6.2.</w:t>
        <w:tab/>
        <w:t>эффективное распоряжение муниципальной собственностью администрации.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</w:t>
        <w:tab/>
        <w:t>Задачами претензионно-исковой работы являются: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1.7.1. предупреждение нарушений обязательств по договорам найма, в которых одной из сторон выступает администрация;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1.7.2. восстановление нарушенных прав и защита законных интересов администрации;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1.7.3. выявление причин и условий, влекущих нарушение прав и законных интересов администрации;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1.7.4. понуждение недобросовестного нанимателя к надлежащему исполнению обязательств по договору найма;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1.7.5. взыскание с недобросовестных нанимателей пеней по договорам найма в судебном порядке (судебных расходов в случае судебного разбирательства).</w:t>
      </w:r>
    </w:p>
    <w:p>
      <w:pPr>
        <w:pStyle w:val="Normal"/>
        <w:tabs>
          <w:tab w:val="clear" w:pos="708"/>
          <w:tab w:val="left" w:pos="635" w:leader="none"/>
          <w:tab w:val="left" w:pos="8636" w:leader="none"/>
          <w:tab w:val="left" w:pos="9178" w:leader="dot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Основными функциями претензионно-исковой работы являются: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1.8.1.</w:t>
        <w:tab/>
        <w:t>осуществление контроля за надлежащим и своевременным исполнением нанимателями обязательств по договорам найма;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1.8.2.</w:t>
        <w:tab/>
        <w:t>досудебное урегулирование споров (понуждению нанимателей к надлежащему исполнению обязательств по договорам найма) путем направления претензий (требований);</w:t>
      </w:r>
    </w:p>
    <w:p>
      <w:pPr>
        <w:pStyle w:val="Normal"/>
        <w:tabs>
          <w:tab w:val="clear" w:pos="708"/>
          <w:tab w:val="left" w:pos="63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1.8.3</w:t>
      </w:r>
      <w:r>
        <w:rPr/>
        <w:t>.</w:t>
      </w:r>
      <w:r>
        <w:rPr>
          <w:rFonts w:cs="Times New Roman" w:ascii="Times New Roman" w:hAnsi="Times New Roman"/>
          <w:sz w:val="28"/>
          <w:szCs w:val="28"/>
        </w:rPr>
        <w:tab/>
        <w:t>подготовка пакета документов в обоснование требований;</w:t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>1.8.4. подготовка исковых заявлений, в случае отказа нанимателей от урегулирования возникших споров в добровольном (претензионном) порядке;</w:t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1.8.5. осуществление представительства в судебных органах по рассмотрению поданных исков;</w:t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1.8.6. подготовка документов для передачи в Федеральную службу судебных приставов (далее ФССП) для принудительного исполнения судебных актов;</w:t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1.8.7. реализация эффективного взаимодействия с ФССП, контроль за полнотой и своевременностью действий в рамках исполнительного производства.</w:t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СУБЪЕКТЫ ПРЕТЕНЗИОННО-ИСКОВОЙ РАБОТЫ</w:t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Организацию, ведение претензионно-исковой работы, осуществляет подразделение правового обеспечения (далее ППО) администрации.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Ответственным лицом является специалист 1 категории ППО (далее – специалист).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Услуги по сбору платы за пользование жилыми помещениями (платы за наем) оказываются уполномоченной организацией, согласно условиям муниципального контракта от 24.01.2020 № 3. Ответственным лицом за предоставление в ППО необходимых для претензионно-исковой работы сведений является директор уполномоченной организации (далее – ответственное лицо).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Для контроля за состоянием дебиторской задолженности отдел бухгалтерского учета и финансов не реже 1 раза в квартал проводит инвентаризацию дебиторской задолженности</w:t>
      </w:r>
      <w:r>
        <w:rPr>
          <w:color w:val="FF0000"/>
          <w:sz w:val="28"/>
          <w:szCs w:val="28"/>
        </w:rPr>
        <w:t xml:space="preserve"> </w:t>
      </w:r>
    </w:p>
    <w:p>
      <w:pPr>
        <w:pStyle w:val="Style19"/>
        <w:shd w:val="clear" w:color="auto" w:fill="auto"/>
        <w:spacing w:lineRule="auto" w:line="240"/>
        <w:ind w:left="144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shd w:val="clear" w:color="auto" w:fill="auto"/>
        <w:spacing w:lineRule="auto" w:line="240"/>
        <w:ind w:left="144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ОРГАНИЗАЦИЯ ПРЕТЕНЗИОННОЙ И ИСКОВОЙ РАБОТЫ</w:t>
      </w:r>
    </w:p>
    <w:p>
      <w:pPr>
        <w:pStyle w:val="Style19"/>
        <w:shd w:val="clear" w:color="auto" w:fill="auto"/>
        <w:spacing w:lineRule="auto" w:line="240"/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650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 Основанием для предъявления претензий является нарушение нанимателями обязательств по своевременному внесению платы за жилое помещение, предусмотренных жилищным законодательством и договорами найма.</w:t>
      </w:r>
    </w:p>
    <w:p>
      <w:pPr>
        <w:pStyle w:val="Style19"/>
        <w:shd w:val="clear" w:color="auto" w:fill="auto"/>
        <w:spacing w:lineRule="auto" w:line="240"/>
        <w:ind w:firstLine="6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Ответственное лицо, обязано ежемесячно до 5 числа месяца, следующего за отчетным направлять отчет о начислении, поступлении и перечислении платы за наем по состоянию на 1 число месяца, следующего за отчетным периодом, а также копии документов, на основании которых возникла дебиторская задолженность, расчет суммы требований (основного долга и начисленных сумм неустойки, иные документы, имеющие отношение к неисполнению контрагентом обязательства.</w:t>
      </w:r>
    </w:p>
    <w:p>
      <w:pPr>
        <w:pStyle w:val="Style19"/>
        <w:shd w:val="clear" w:color="auto" w:fill="auto"/>
        <w:spacing w:lineRule="auto" w:line="24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документов передаются в ППО для составления претензии.</w:t>
      </w:r>
    </w:p>
    <w:p>
      <w:pPr>
        <w:pStyle w:val="Style19"/>
        <w:shd w:val="clear" w:color="auto" w:fill="auto"/>
        <w:spacing w:lineRule="auto" w:line="24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Оригиналы документов остаются у ответственного лица до предъявления специалистом в суд искового заявления.</w:t>
      </w:r>
    </w:p>
    <w:p>
      <w:pPr>
        <w:pStyle w:val="Style19"/>
        <w:shd w:val="clear" w:color="auto" w:fill="auto"/>
        <w:spacing w:lineRule="auto" w:line="24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Организация и ведение претензионной работы включает в себя:</w:t>
      </w:r>
    </w:p>
    <w:p>
      <w:pPr>
        <w:pStyle w:val="Style19"/>
        <w:shd w:val="clear" w:color="auto" w:fill="auto"/>
        <w:spacing w:lineRule="auto" w:line="24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3.2.1. получение от ответственного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лица документов, необходимых для предъявления претензий;</w:t>
      </w:r>
    </w:p>
    <w:p>
      <w:pPr>
        <w:pStyle w:val="Style19"/>
        <w:shd w:val="clear" w:color="auto" w:fill="auto"/>
        <w:spacing w:lineRule="auto" w:line="24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3.2.2. проверка наличия права на предъявление претензий и полноты материалов для их обоснования;</w:t>
      </w:r>
    </w:p>
    <w:p>
      <w:pPr>
        <w:pStyle w:val="Style19"/>
        <w:shd w:val="clear" w:color="auto" w:fill="auto"/>
        <w:spacing w:lineRule="auto" w:line="24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3.2.3. составление проекта претензий и представление на подпись главе городского округа (лицу, исполняющему его обязанности).</w:t>
      </w:r>
    </w:p>
    <w:p>
      <w:pPr>
        <w:pStyle w:val="Style19"/>
        <w:shd w:val="clear" w:color="auto" w:fill="auto"/>
        <w:spacing w:lineRule="auto" w:line="240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Претензия должна содержать следующие данные фамилию нанимателя, обстоятельства, являющиеся основанием для предъявления претензии, со ссылками на соответствующие статьи договора и нормативных правовых актов, указание о предполагаемом способе исполнения обязательств, расчет суммы требований по претензии и номер счета, на который должны быть перечислены денежные средства, срок исполнения обязательств, информация о мерах, которые будут приняты в случае отклонения претензии, дата и регистрационный номер претензии, подпись уполномоченного лица;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3.2.4. проверка законности предъявленной претензии, и ее обоснованности (наличие необходимых доказательств, правильность расчета взыскиваемой суммы и т.д.);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3.2.5. запрос недостающих документов;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3.2.6. рассмотрение ответов на претензии (при наличии);</w:t>
      </w:r>
    </w:p>
    <w:p>
      <w:pPr>
        <w:pStyle w:val="Style19"/>
        <w:shd w:val="clear" w:color="auto" w:fill="auto"/>
        <w:spacing w:lineRule="auto" w:line="240"/>
        <w:ind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 Основанием для предъявления исков является отказ нанимателя от удовлетворения требования, содержащегося в претензии, в добровольном порядке. В случаях, если законодательством Российской Федерации и договором с контрагентом прямо установлено право предъявления требований в суд без соблюдения претензионного (досудебного порядка) урегулирования спора иск может быть предъявлен сразу в суд при выявлении соответствующих нарушений. 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 Организация и ведение исковой работы включают в себя:</w:t>
      </w:r>
    </w:p>
    <w:p>
      <w:pPr>
        <w:pStyle w:val="Style19"/>
        <w:shd w:val="clear" w:color="auto" w:fill="auto"/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3.4.1. подготовка соответствующих документов для предъявления иска или возражения по иску;</w:t>
      </w:r>
    </w:p>
    <w:p>
      <w:pPr>
        <w:pStyle w:val="Style19"/>
        <w:shd w:val="clear" w:color="auto" w:fill="auto"/>
        <w:tabs>
          <w:tab w:val="clear" w:pos="708"/>
          <w:tab w:val="left" w:pos="656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>3.4.2. составление исковых заявлений.</w:t>
      </w:r>
    </w:p>
    <w:p>
      <w:pPr>
        <w:pStyle w:val="Style19"/>
        <w:shd w:val="clear" w:color="auto" w:fill="auto"/>
        <w:tabs>
          <w:tab w:val="clear" w:pos="708"/>
          <w:tab w:val="left" w:pos="656" w:leader="none"/>
        </w:tabs>
        <w:spacing w:lineRule="auto" w:line="240"/>
        <w:ind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>3.4.3. участие в рассмотрении дел в судах общей юрисдикции;</w:t>
      </w:r>
    </w:p>
    <w:p>
      <w:pPr>
        <w:pStyle w:val="Style19"/>
        <w:shd w:val="clear" w:color="auto" w:fill="auto"/>
        <w:tabs>
          <w:tab w:val="clear" w:pos="708"/>
          <w:tab w:val="left" w:pos="656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>3.4.4. контроль за своевременным получением решений, определений и других судебных документов, внесение при необходимости предложений по их исполнению или обжалованию;</w:t>
      </w:r>
    </w:p>
    <w:p>
      <w:pPr>
        <w:pStyle w:val="Style19"/>
        <w:shd w:val="clear" w:color="auto" w:fill="auto"/>
        <w:tabs>
          <w:tab w:val="clear" w:pos="708"/>
          <w:tab w:val="left" w:pos="656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>3.4.5. принятие мер к возмещению причиненных убытков.</w:t>
      </w:r>
    </w:p>
    <w:p>
      <w:pPr>
        <w:pStyle w:val="Style19"/>
        <w:shd w:val="clear" w:color="auto" w:fill="auto"/>
        <w:spacing w:lineRule="auto" w:line="24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 ППО предъявляет претензии, передает иски на разрешение судебных органов, возражает против исков, обеспечивает защиту своих прав и охраняемых законом интересов в судах в соответствии с подведомственностью и подсудностью споров согласно ГПК РФ.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Право подписания претензий и исков от имени администрации имеет глава городского округа, специалисты подразделения правового обеспечения (на основании доверенности).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3.7. Система контроля за исполнением условий договоров найма должна в полной мере обеспечивать возможность оперативного и надлежащего реагирования на нарушения условий договоров найма, в том числе своевременное документирование фактов выявленных нарушений, направление претензий и иное урегулирование спорных ситуаций.</w:t>
      </w:r>
    </w:p>
    <w:p>
      <w:pPr>
        <w:pStyle w:val="Style19"/>
        <w:shd w:val="clear" w:color="auto" w:fill="auto"/>
        <w:tabs>
          <w:tab w:val="clear" w:pos="708"/>
          <w:tab w:val="left" w:pos="1089" w:leader="none"/>
        </w:tabs>
        <w:spacing w:lineRule="auto" w:line="240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1089" w:leader="none"/>
        </w:tabs>
        <w:spacing w:lineRule="auto" w:line="240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ПОРЯДОК ПОДГОТОВКИ И ПРЕДЪЯВЛЕНИЯ </w:t>
        <w:br/>
        <w:t xml:space="preserve">ТРЕБОВАНИЯ (ПРЕТЕНЗИИ) </w:t>
      </w:r>
    </w:p>
    <w:p>
      <w:pPr>
        <w:pStyle w:val="Style19"/>
        <w:shd w:val="clear" w:color="auto" w:fill="auto"/>
        <w:tabs>
          <w:tab w:val="clear" w:pos="708"/>
          <w:tab w:val="left" w:pos="1089" w:leader="none"/>
        </w:tabs>
        <w:spacing w:lineRule="auto" w:line="24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Требование (претензия) предъявляется в связи с неисполнением нанимателем обязательства по внесению платежей за жилое помещение (платы за наем), а также в случае просрочки исполнения нанимателем обязательств по внесению платы за жилое помещение взысканием неустойки.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 Специалист при получении материалов для предъявления претензии должен проверить: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4.2.1. наличие правовых оснований для предъявления претензии;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полноту полученных материалов по факту нарушения условий договора найма и их надлежащее документальное оформление (наличие доказательств). При необходимости следует получить дополнительные материалы.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Специалист в случае выявления факта неисполнения обязательств по договорам найма, а также в случае просрочки исполнения обязательств, не позднее 10 рабочих дней со дня выявления вышеуказанных обстоятельств, обязан направить письменную претензию (требование) в адрес нанимателя.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Претензия пишется в произвольной письменной форме с указанием реквизитов наймодателя, реквизитов нанимателя, в адрес которого направляется претензия, суммы претензионных требований, содержание этих требований и доводов в пользу их удовлетворения, подтвержденных ссылками на документы и нормативные правовые акты, регулирующие возникшие между сторонами отношения и (или) положения договора.</w:t>
      </w:r>
    </w:p>
    <w:p>
      <w:pPr>
        <w:pStyle w:val="Style19"/>
        <w:shd w:val="clear" w:color="auto" w:fill="auto"/>
        <w:spacing w:lineRule="auto" w:line="24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претензии следует конкретно и подробно изложить свои требования, указать сумму и привести ее полный и обоснованный расчет. Недопустимо заявление сослагательных требований, которые ставятся в зависимость от других действий или обязательств.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 Требования, заявленные в претензии, должны быть основаны на конкретных обстоятельствах и доказательствах, подтверждающих их, со ссылкой на соответствующие нормативные правовые акты. Также претензия может содержать и другие сведения, которые, будут способствовать более быстрому и правильному ее рассмотрению, объективному урегулированию спора.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Заявленные требования в обязательном порядке подтверждаются необходимыми документами, которые прилагаются к претензии в виде надлежаще заверенных копий либо выписки из них. Если какие-то документы у другой стороны имеются, например договор, их направление не является обязательным.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4.8. В претензии рекомендуется устанавливать конкретный срок ее рассмотрения, но не более 30 календарных дней со дня ее направления.</w:t>
      </w:r>
    </w:p>
    <w:p>
      <w:pPr>
        <w:pStyle w:val="Style19"/>
        <w:shd w:val="clear" w:color="auto" w:fill="auto"/>
        <w:spacing w:lineRule="auto" w:line="24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Письменной формой оформления претензии признается телеграфная, телетайпная претензия, а также претензия, </w:t>
      </w:r>
      <w:r>
        <w:rPr>
          <w:sz w:val="28"/>
          <w:szCs w:val="28"/>
        </w:rPr>
        <w:t>направл</w:t>
      </w:r>
      <w:r>
        <w:rPr>
          <w:color w:val="000000"/>
          <w:sz w:val="28"/>
          <w:szCs w:val="28"/>
        </w:rPr>
        <w:t>енная по электронной почте, переданная с использованием иных средств связи, обеспечивающих фиксирование ее отправления. Общепринятым и надежным является отправление претензии письмом с объявленной ценностью либо вручение ее под расписку полномочному представителю контрагента. При этом доказательства отправки претензии заказной корреспонденцией – почтовая квитанция в приеме заказного письма почтовым отделением и опись вложений должна сохраняться до предъявления иска. Почтовая квитанция должна прикладываться к исковому заявлению, направляемому в суд, в качестве доказательства принятия мер к непосредственному урегулированию спора, если не будет получен ответ на претензию.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В случае неудовлетворения претензии или оставления претензии без ответа контрагентом в течение 30 (рабочих) дней со дня ее направления, специалист подготавливает все необходимые документы и материалы для обращения в судебные органы с исковым заявлением.</w:t>
      </w:r>
    </w:p>
    <w:p>
      <w:pPr>
        <w:pStyle w:val="Style19"/>
        <w:shd w:val="clear" w:color="auto" w:fill="auto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2647" w:leader="none"/>
        </w:tabs>
        <w:spacing w:lineRule="auto" w:line="240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ПОРЯДОК ПОДГОТОВКИ, ПРЕДЪЯВЛЕНИЯ </w:t>
      </w:r>
    </w:p>
    <w:p>
      <w:pPr>
        <w:pStyle w:val="Style19"/>
        <w:shd w:val="clear" w:color="auto" w:fill="auto"/>
        <w:tabs>
          <w:tab w:val="clear" w:pos="708"/>
          <w:tab w:val="left" w:pos="2647" w:leader="none"/>
        </w:tabs>
        <w:spacing w:lineRule="auto" w:line="240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ПОДАЧИ ИСКОВЫХ ЗАЯВЛЕНИЙ В СУДЕБНЫЕ ОРГАНЫ</w:t>
      </w:r>
    </w:p>
    <w:p>
      <w:pPr>
        <w:pStyle w:val="Style19"/>
        <w:shd w:val="clear" w:color="auto" w:fill="auto"/>
        <w:tabs>
          <w:tab w:val="clear" w:pos="708"/>
          <w:tab w:val="left" w:pos="2647" w:leader="none"/>
        </w:tabs>
        <w:spacing w:lineRule="auto" w:line="24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spacing w:lineRule="auto" w:line="24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 В случае, если в досудебном порядке разрешить спорный вопрос по исполнению нанимателем своих обязательств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договору найма не представляется возможным, администрация в целях защиты своих прав и законных интересов в обязательном порядке обращаться в судебные органы.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Обращение в суд осуществляется в форме искового заявления.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обращении в суд апелляционной и кассационной инстанций, а также в иных случаях, предусмотренных ГПК РФ и иными федеральными законами, администрация обращается с жалобой.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 Исковое заявление подается в суд в письменной форме, подписывается главой городского округа, специалистом и должно содержать сведения, предусмотренные ГПК РФ. В тексте искового заявления истец указывает конкретные нормы законодательства, ссылаясь на которые в правовом аспекте он основывает свои требования, а также конкретные обстоятельства, на которые ссылается истец. Они должны быть выражены четко, логично, последовательно, с указанием оснований и выводов, точное обоснование предмета (существа) иска, представление обоснованного и подробного расчета исковых требований как в целом, так и по отдельным составляющим иска.</w:t>
      </w:r>
    </w:p>
    <w:p>
      <w:pPr>
        <w:pStyle w:val="Style19"/>
        <w:shd w:val="clear" w:color="auto" w:fill="auto"/>
        <w:tabs>
          <w:tab w:val="clear" w:pos="708"/>
          <w:tab w:val="left" w:pos="3114" w:leader="none"/>
        </w:tabs>
        <w:spacing w:lineRule="auto" w:line="240"/>
        <w:ind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3114" w:leader="none"/>
        </w:tabs>
        <w:spacing w:lineRule="auto" w:line="240"/>
        <w:ind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ИСПОЛНИТЕЛЬНОЕ ПРОИЗВОДСТВО</w:t>
      </w:r>
    </w:p>
    <w:p>
      <w:pPr>
        <w:pStyle w:val="Style19"/>
        <w:shd w:val="clear" w:color="auto" w:fill="auto"/>
        <w:tabs>
          <w:tab w:val="clear" w:pos="708"/>
          <w:tab w:val="left" w:pos="3114" w:leader="none"/>
        </w:tabs>
        <w:spacing w:lineRule="auto" w:line="24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>1. В исполнительном производстве от имени администрации (как взыскателя) выступает специалист.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 Специалист самостоятельно получает судебный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акт, вступивший в законную силу, обеспечивает контроль за ходом исполнительного производства до полного исполнения судебного акта, а также</w:t>
      </w:r>
      <w:r>
        <w:rPr>
          <w:sz w:val="28"/>
          <w:szCs w:val="28"/>
        </w:rPr>
        <w:t xml:space="preserve"> своевременно и в полном объеме реализует права и выполняет обязанности установленные </w:t>
      </w:r>
      <w:r>
        <w:rPr>
          <w:color w:val="000000"/>
          <w:sz w:val="28"/>
          <w:szCs w:val="28"/>
        </w:rPr>
        <w:t>статьей 50 Федерального закона от 02 октября 2007 года № 229-ФЗ «Об исполнительном производстве».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 Начальник отдела бухгалтерского учета и финансов обязан контролировать поступление платежей в счет погашения дебиторской задолженности, исполнения требований, заявленных в претензии и исполнения судебного акта, а также незамедлительно представлять в ППО документы, имеющие отношение к взысканию дебиторской задолженности (переписка, акты сверки расчетов, платежные поручения и т. д.), частичном или полном ее погашении.</w:t>
      </w:r>
    </w:p>
    <w:p>
      <w:pPr>
        <w:pStyle w:val="Style19"/>
        <w:shd w:val="clear" w:color="auto" w:fill="auto"/>
        <w:tabs>
          <w:tab w:val="clear" w:pos="708"/>
          <w:tab w:val="left" w:pos="3368" w:leader="none"/>
        </w:tabs>
        <w:spacing w:lineRule="auto" w:line="240"/>
        <w:ind w:left="360" w:hang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ОТВЕТСТВЕННОСТЬ СУБЪЕКТОВ </w:t>
        <w:br/>
        <w:t>ПРЕТЕНЗИОННО-ИСКОВОЙ РАБОТЫ</w:t>
      </w:r>
    </w:p>
    <w:p>
      <w:pPr>
        <w:pStyle w:val="Style19"/>
        <w:shd w:val="clear" w:color="auto" w:fill="auto"/>
        <w:tabs>
          <w:tab w:val="clear" w:pos="708"/>
          <w:tab w:val="left" w:pos="3368" w:leader="none"/>
        </w:tabs>
        <w:spacing w:lineRule="auto" w:line="240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726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7.1 Ответственность за организацию и ведение претензионно-исковой работы, за правильность составления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претензий и исков к нанимателям, представление интересов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в судах, органах прокуратуры, юстиции, внутренних дел и иных органах при взыскании дебиторской задолженности, за соблюдение сроков и порядка обжалования судебных актов несет ППО.</w:t>
      </w:r>
    </w:p>
    <w:p>
      <w:pPr>
        <w:pStyle w:val="Style19"/>
        <w:shd w:val="clear" w:color="auto" w:fill="auto"/>
        <w:spacing w:lineRule="auto" w:line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 Отдел бухгалтерского учета и финансов несет ответственность за полноту, правильность и своевременность ведения учета и проведение инвентаризации дебиторской задолженности.</w:t>
      </w:r>
    </w:p>
    <w:p>
      <w:pPr>
        <w:pStyle w:val="Style19"/>
        <w:shd w:val="clear" w:color="auto" w:fill="auto"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2819" w:leader="none"/>
        </w:tabs>
        <w:spacing w:lineRule="auto" w:line="240"/>
        <w:ind w:left="360" w:hang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8. УЧЕТ И ХРАНЕНИЕ ПРЕТЕНЗИЙ И ИСКОВ</w:t>
      </w:r>
    </w:p>
    <w:p>
      <w:pPr>
        <w:pStyle w:val="Style19"/>
        <w:shd w:val="clear" w:color="auto" w:fill="auto"/>
        <w:tabs>
          <w:tab w:val="clear" w:pos="708"/>
          <w:tab w:val="left" w:pos="626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8.1. Все документы в отношении претензионно-исковой работы хранятся в ППО.</w:t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tabs>
          <w:tab w:val="clear" w:pos="708"/>
          <w:tab w:val="left" w:pos="553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hd w:val="clear" w:color="auto" w:fill="auto"/>
        <w:spacing w:lineRule="auto" w:line="240"/>
        <w:ind w:left="5760" w:firstLine="720"/>
        <w:jc w:val="left"/>
        <w:rPr>
          <w:color w:val="000000"/>
        </w:rPr>
      </w:pPr>
      <w:r>
        <w:rPr>
          <w:color w:val="000000"/>
        </w:rPr>
      </w:r>
    </w:p>
    <w:p>
      <w:pPr>
        <w:pStyle w:val="Style19"/>
        <w:shd w:val="clear" w:color="auto" w:fill="auto"/>
        <w:spacing w:lineRule="auto" w:line="240"/>
        <w:ind w:left="5760" w:firstLine="720"/>
        <w:jc w:val="left"/>
        <w:rPr>
          <w:color w:val="000000"/>
        </w:rPr>
      </w:pPr>
      <w:r>
        <w:rPr>
          <w:color w:val="000000"/>
        </w:rPr>
      </w:r>
    </w:p>
    <w:p>
      <w:pPr>
        <w:pStyle w:val="Style19"/>
        <w:shd w:val="clear" w:color="auto" w:fill="auto"/>
        <w:spacing w:lineRule="auto" w:line="240"/>
        <w:ind w:left="5760" w:firstLine="720"/>
        <w:jc w:val="left"/>
        <w:rPr>
          <w:color w:val="000000"/>
        </w:rPr>
      </w:pPr>
      <w:r>
        <w:rPr>
          <w:color w:val="000000"/>
        </w:rPr>
      </w:r>
    </w:p>
    <w:p>
      <w:pPr>
        <w:pStyle w:val="Style19"/>
        <w:shd w:val="clear" w:color="auto" w:fill="auto"/>
        <w:spacing w:lineRule="auto" w:line="240"/>
        <w:ind w:left="5760" w:firstLine="720"/>
        <w:jc w:val="left"/>
        <w:rPr>
          <w:color w:val="000000"/>
        </w:rPr>
      </w:pPr>
      <w:r>
        <w:rPr>
          <w:color w:val="000000"/>
        </w:rPr>
      </w:r>
    </w:p>
    <w:p>
      <w:pPr>
        <w:pStyle w:val="Style19"/>
        <w:shd w:val="clear" w:color="auto" w:fill="auto"/>
        <w:spacing w:lineRule="auto" w:line="240"/>
        <w:ind w:left="5760" w:firstLine="720"/>
        <w:jc w:val="left"/>
        <w:rPr>
          <w:color w:val="000000"/>
        </w:rPr>
      </w:pPr>
      <w:r>
        <w:rPr>
          <w:color w:val="000000"/>
        </w:rPr>
      </w:r>
    </w:p>
    <w:p>
      <w:pPr>
        <w:pStyle w:val="Style19"/>
        <w:shd w:val="clear" w:color="auto" w:fill="auto"/>
        <w:spacing w:lineRule="auto" w:line="240"/>
        <w:ind w:left="5760" w:firstLine="720"/>
        <w:jc w:val="left"/>
        <w:rPr>
          <w:color w:val="000000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422" w:top="479" w:footer="0" w:bottom="851" w:gutter="0"/>
      <w:pgNumType w:start="2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1801029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1760496"/>
    </w:sdtPr>
    <w:sdtContent>
      <w:p>
        <w:pPr>
          <w:pStyle w:val="Style24"/>
          <w:jc w:val="center"/>
          <w:rPr/>
        </w:pPr>
        <w:r>
          <w:rPr/>
          <w:t>2</w:t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65"/>
        </w:tabs>
        <w:ind w:left="436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85"/>
        </w:tabs>
        <w:ind w:left="5085" w:hanging="360"/>
      </w:pPr>
    </w:lvl>
    <w:lvl w:ilvl="2">
      <w:start w:val="1"/>
      <w:numFmt w:val="lowerRoman"/>
      <w:lvlText w:val="%3."/>
      <w:lvlJc w:val="right"/>
      <w:pPr>
        <w:tabs>
          <w:tab w:val="num" w:pos="5805"/>
        </w:tabs>
        <w:ind w:left="5805" w:hanging="180"/>
      </w:pPr>
    </w:lvl>
    <w:lvl w:ilvl="3">
      <w:start w:val="1"/>
      <w:numFmt w:val="decimal"/>
      <w:lvlText w:val="%4."/>
      <w:lvlJc w:val="left"/>
      <w:pPr>
        <w:tabs>
          <w:tab w:val="num" w:pos="6525"/>
        </w:tabs>
        <w:ind w:left="6525" w:hanging="360"/>
      </w:pPr>
    </w:lvl>
    <w:lvl w:ilvl="4">
      <w:start w:val="1"/>
      <w:numFmt w:val="lowerLetter"/>
      <w:lvlText w:val="%5."/>
      <w:lvlJc w:val="left"/>
      <w:pPr>
        <w:tabs>
          <w:tab w:val="num" w:pos="7245"/>
        </w:tabs>
        <w:ind w:left="7245" w:hanging="360"/>
      </w:pPr>
    </w:lvl>
    <w:lvl w:ilvl="5">
      <w:start w:val="1"/>
      <w:numFmt w:val="lowerRoman"/>
      <w:lvlText w:val="%6."/>
      <w:lvlJc w:val="right"/>
      <w:pPr>
        <w:tabs>
          <w:tab w:val="num" w:pos="7965"/>
        </w:tabs>
        <w:ind w:left="7965" w:hanging="180"/>
      </w:pPr>
    </w:lvl>
    <w:lvl w:ilvl="6">
      <w:start w:val="1"/>
      <w:numFmt w:val="decimal"/>
      <w:lvlText w:val="%7."/>
      <w:lvlJc w:val="left"/>
      <w:pPr>
        <w:tabs>
          <w:tab w:val="num" w:pos="8685"/>
        </w:tabs>
        <w:ind w:left="8685" w:hanging="360"/>
      </w:pPr>
    </w:lvl>
    <w:lvl w:ilvl="7">
      <w:start w:val="1"/>
      <w:numFmt w:val="lowerLetter"/>
      <w:lvlText w:val="%8."/>
      <w:lvlJc w:val="left"/>
      <w:pPr>
        <w:tabs>
          <w:tab w:val="num" w:pos="9405"/>
        </w:tabs>
        <w:ind w:left="9405" w:hanging="360"/>
      </w:pPr>
    </w:lvl>
    <w:lvl w:ilvl="8">
      <w:start w:val="1"/>
      <w:numFmt w:val="lowerRoman"/>
      <w:lvlText w:val="%9."/>
      <w:lvlJc w:val="right"/>
      <w:pPr>
        <w:tabs>
          <w:tab w:val="num" w:pos="10125"/>
        </w:tabs>
        <w:ind w:left="101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0e7d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"/>
    <w:qFormat/>
    <w:rsid w:val="002f0e7d"/>
    <w:rPr>
      <w:b/>
      <w:bCs/>
      <w:sz w:val="23"/>
      <w:szCs w:val="23"/>
      <w:shd w:fill="FFFFFF" w:val="clear"/>
    </w:rPr>
  </w:style>
  <w:style w:type="character" w:styleId="21" w:customStyle="1">
    <w:name w:val="Основной текст (2)"/>
    <w:basedOn w:val="2"/>
    <w:qFormat/>
    <w:rsid w:val="002f0e7d"/>
    <w:rPr>
      <w:b/>
      <w:bCs/>
      <w:sz w:val="23"/>
      <w:szCs w:val="23"/>
      <w:shd w:fill="FFFFFF" w:val="clear"/>
    </w:rPr>
  </w:style>
  <w:style w:type="character" w:styleId="Style14" w:customStyle="1">
    <w:name w:val="Основной текст Знак"/>
    <w:basedOn w:val="DefaultParagraphFont"/>
    <w:link w:val="a4"/>
    <w:qFormat/>
    <w:rsid w:val="002f0e7d"/>
    <w:rPr>
      <w:sz w:val="22"/>
      <w:szCs w:val="22"/>
      <w:shd w:fill="FFFFFF" w:val="clear"/>
    </w:rPr>
  </w:style>
  <w:style w:type="character" w:styleId="1" w:customStyle="1">
    <w:name w:val="Основной текст Знак1"/>
    <w:basedOn w:val="DefaultParagraphFont"/>
    <w:qFormat/>
    <w:rsid w:val="002f0e7d"/>
    <w:rPr>
      <w:rFonts w:ascii="Courier New" w:hAnsi="Courier New" w:eastAsia="Courier New" w:cs="Courier New"/>
      <w:color w:val="000000"/>
      <w:sz w:val="24"/>
      <w:szCs w:val="24"/>
    </w:rPr>
  </w:style>
  <w:style w:type="character" w:styleId="ArialUnicodeMS" w:customStyle="1">
    <w:name w:val="Основной текст + Arial Unicode MS"/>
    <w:basedOn w:val="Style14"/>
    <w:qFormat/>
    <w:rsid w:val="002f0e7d"/>
    <w:rPr>
      <w:rFonts w:ascii="Arial Unicode MS" w:hAnsi="Arial Unicode MS" w:eastAsia="Arial Unicode MS" w:cs="Arial Unicode MS"/>
      <w:i/>
      <w:iCs/>
      <w:sz w:val="16"/>
      <w:szCs w:val="16"/>
      <w:shd w:fill="FFFFFF" w:val="clear"/>
      <w:lang w:val="en-US" w:eastAsia="en-US"/>
    </w:rPr>
  </w:style>
  <w:style w:type="character" w:styleId="1pt" w:customStyle="1">
    <w:name w:val="Основной текст + Интервал 1 pt"/>
    <w:basedOn w:val="Style14"/>
    <w:qFormat/>
    <w:rsid w:val="002f0e7d"/>
    <w:rPr>
      <w:spacing w:val="30"/>
      <w:sz w:val="22"/>
      <w:szCs w:val="22"/>
      <w:shd w:fill="FFFFFF" w:val="clear"/>
    </w:rPr>
  </w:style>
  <w:style w:type="character" w:styleId="Style15" w:customStyle="1">
    <w:name w:val="Текст выноски Знак"/>
    <w:basedOn w:val="DefaultParagraphFont"/>
    <w:link w:val="a6"/>
    <w:qFormat/>
    <w:rsid w:val="008d384a"/>
    <w:rPr>
      <w:rFonts w:ascii="Segoe UI" w:hAnsi="Segoe UI" w:eastAsia="Courier New" w:cs="Segoe UI"/>
      <w:color w:val="000000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9c1fb2"/>
    <w:rPr>
      <w:rFonts w:ascii="Courier New" w:hAnsi="Courier New" w:eastAsia="Courier New" w:cs="Courier New"/>
      <w:color w:val="000000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9c1fb2"/>
    <w:rPr>
      <w:rFonts w:ascii="Courier New" w:hAnsi="Courier New" w:eastAsia="Courier New" w:cs="Courier New"/>
      <w:color w:val="000000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3"/>
    <w:rsid w:val="002f0e7d"/>
    <w:pPr>
      <w:shd w:val="clear" w:color="auto" w:fill="FFFFFF"/>
      <w:spacing w:lineRule="exact" w:line="278"/>
      <w:ind w:hanging="1980"/>
      <w:jc w:val="right"/>
    </w:pPr>
    <w:rPr>
      <w:rFonts w:ascii="Times New Roman" w:hAnsi="Times New Roman" w:eastAsia="Times New Roman" w:cs="Times New Roman"/>
      <w:color w:val="auto"/>
      <w:sz w:val="22"/>
      <w:szCs w:val="22"/>
    </w:rPr>
  </w:style>
  <w:style w:type="paragraph" w:styleId="Style20">
    <w:name w:val="List"/>
    <w:basedOn w:val="Style19"/>
    <w:pPr>
      <w:shd w:fill="FFFFFF" w:val="clear"/>
    </w:pPr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(2)1"/>
    <w:basedOn w:val="Normal"/>
    <w:link w:val="2"/>
    <w:qFormat/>
    <w:rsid w:val="002f0e7d"/>
    <w:pPr>
      <w:shd w:val="clear" w:color="auto" w:fill="FFFFFF"/>
      <w:spacing w:lineRule="exact" w:line="278"/>
      <w:jc w:val="center"/>
    </w:pPr>
    <w:rPr>
      <w:rFonts w:ascii="Times New Roman" w:hAnsi="Times New Roman" w:eastAsia="Times New Roman" w:cs="Times New Roman"/>
      <w:b/>
      <w:bCs/>
      <w:color w:val="auto"/>
      <w:sz w:val="23"/>
      <w:szCs w:val="23"/>
    </w:rPr>
  </w:style>
  <w:style w:type="paragraph" w:styleId="BalloonText">
    <w:name w:val="Balloon Text"/>
    <w:basedOn w:val="Normal"/>
    <w:link w:val="a7"/>
    <w:qFormat/>
    <w:rsid w:val="008d384a"/>
    <w:pPr/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rsid w:val="009c1f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rsid w:val="009c1fb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2f0e7d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5FB9-AEA6-432A-BFA5-C0ABE61A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LibreOffice/7.0.1.2$Windows_x86 LibreOffice_project/7cbcfc562f6eb6708b5ff7d7397325de9e764452</Application>
  <Pages>7</Pages>
  <Words>1676</Words>
  <Characters>12175</Characters>
  <CharactersWithSpaces>13797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2020-12-28T13:20:00Z</dcterms:created>
  <dc:creator>User49</dc:creator>
  <dc:description/>
  <dc:language>ru-RU</dc:language>
  <cp:lastModifiedBy/>
  <cp:lastPrinted>2020-12-30T05:07:00Z</cp:lastPrinted>
  <dcterms:modified xsi:type="dcterms:W3CDTF">2021-01-11T14:38:10Z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