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0" w:firstLine="5387"/>
        <w:outlineLvl w:val="1"/>
        <w:rPr/>
      </w:pPr>
      <w:r>
        <w:rPr/>
        <w:t>Утверждена</w:t>
      </w:r>
    </w:p>
    <w:p>
      <w:pPr>
        <w:pStyle w:val="Normal"/>
        <w:widowControl w:val="false"/>
        <w:numPr>
          <w:ilvl w:val="0"/>
          <w:numId w:val="0"/>
        </w:numPr>
        <w:ind w:left="0" w:firstLine="5387"/>
        <w:outlineLvl w:val="1"/>
        <w:rPr/>
      </w:pPr>
      <w:r>
        <w:rPr/>
        <w:t xml:space="preserve">постановлением администрации </w:t>
      </w:r>
    </w:p>
    <w:p>
      <w:pPr>
        <w:pStyle w:val="Normal"/>
        <w:widowControl w:val="false"/>
        <w:numPr>
          <w:ilvl w:val="0"/>
          <w:numId w:val="0"/>
        </w:numPr>
        <w:ind w:left="5387" w:hanging="0"/>
        <w:outlineLvl w:val="1"/>
        <w:rPr/>
      </w:pPr>
      <w:r>
        <w:rPr/>
        <w:t xml:space="preserve">городского округа ЗАТО Свободный </w:t>
      </w:r>
    </w:p>
    <w:p>
      <w:pPr>
        <w:pStyle w:val="Normal"/>
        <w:widowControl w:val="false"/>
        <w:numPr>
          <w:ilvl w:val="0"/>
          <w:numId w:val="0"/>
        </w:numPr>
        <w:ind w:left="5387" w:hanging="0"/>
        <w:outlineLvl w:val="1"/>
        <w:rPr/>
      </w:pPr>
      <w:r>
        <w:rPr/>
        <w:t>от 29 декабря 2017 года № 865</w:t>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center"/>
        <w:outlineLvl w:val="1"/>
        <w:rPr>
          <w:sz w:val="48"/>
          <w:szCs w:val="48"/>
        </w:rPr>
      </w:pPr>
      <w:r>
        <w:rPr>
          <w:sz w:val="48"/>
          <w:szCs w:val="48"/>
        </w:rPr>
        <w:t>МУНИЦИПАЛЬНАЯ ПРОГРАММА</w:t>
      </w:r>
    </w:p>
    <w:p>
      <w:pPr>
        <w:pStyle w:val="Normal"/>
        <w:widowControl w:val="false"/>
        <w:numPr>
          <w:ilvl w:val="0"/>
          <w:numId w:val="0"/>
        </w:numPr>
        <w:ind w:left="0" w:hanging="0"/>
        <w:jc w:val="center"/>
        <w:outlineLvl w:val="1"/>
        <w:rPr>
          <w:sz w:val="36"/>
          <w:szCs w:val="36"/>
        </w:rPr>
      </w:pPr>
      <w:r>
        <w:rPr>
          <w:sz w:val="36"/>
          <w:szCs w:val="36"/>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center"/>
        <w:outlineLvl w:val="1"/>
        <w:rPr>
          <w:sz w:val="36"/>
          <w:szCs w:val="36"/>
        </w:rPr>
      </w:pPr>
      <w:r>
        <w:rPr>
          <w:sz w:val="36"/>
          <w:szCs w:val="36"/>
        </w:rPr>
        <w:t>«</w:t>
      </w:r>
      <w:bookmarkStart w:id="0" w:name="OLE_LINK95"/>
      <w:bookmarkStart w:id="1" w:name="OLE_LINK96"/>
      <w:r>
        <w:rPr>
          <w:sz w:val="36"/>
          <w:szCs w:val="36"/>
        </w:rPr>
        <w:t>Совершенствование социально-экономической политики и эффективности муниципального управления</w:t>
      </w:r>
      <w:bookmarkEnd w:id="0"/>
      <w:bookmarkEnd w:id="1"/>
      <w:r>
        <w:rPr>
          <w:sz w:val="36"/>
          <w:szCs w:val="36"/>
        </w:rPr>
        <w:t>»</w:t>
      </w:r>
    </w:p>
    <w:p>
      <w:pPr>
        <w:pStyle w:val="Normal"/>
        <w:widowControl w:val="false"/>
        <w:numPr>
          <w:ilvl w:val="0"/>
          <w:numId w:val="0"/>
        </w:numPr>
        <w:ind w:left="0" w:hanging="0"/>
        <w:jc w:val="center"/>
        <w:outlineLvl w:val="1"/>
        <w:rPr>
          <w:sz w:val="36"/>
          <w:szCs w:val="36"/>
        </w:rPr>
      </w:pPr>
      <w:r>
        <w:rPr>
          <w:sz w:val="36"/>
          <w:szCs w:val="36"/>
        </w:rPr>
      </w:r>
    </w:p>
    <w:p>
      <w:pPr>
        <w:pStyle w:val="Normal"/>
        <w:widowControl w:val="false"/>
        <w:numPr>
          <w:ilvl w:val="0"/>
          <w:numId w:val="0"/>
        </w:numPr>
        <w:ind w:left="0" w:hanging="0"/>
        <w:jc w:val="center"/>
        <w:outlineLvl w:val="1"/>
        <w:rPr>
          <w:sz w:val="36"/>
          <w:szCs w:val="36"/>
        </w:rPr>
      </w:pPr>
      <w:r>
        <w:rPr>
          <w:sz w:val="36"/>
          <w:szCs w:val="36"/>
        </w:rPr>
        <w:t>на 2016-2024 годы</w:t>
      </w:r>
    </w:p>
    <w:p>
      <w:pPr>
        <w:pStyle w:val="Normal"/>
        <w:widowControl w:val="false"/>
        <w:numPr>
          <w:ilvl w:val="0"/>
          <w:numId w:val="0"/>
        </w:numPr>
        <w:ind w:left="0" w:hanging="0"/>
        <w:jc w:val="center"/>
        <w:outlineLvl w:val="1"/>
        <w:rPr>
          <w:sz w:val="36"/>
          <w:szCs w:val="36"/>
        </w:rPr>
      </w:pPr>
      <w:r>
        <w:rPr>
          <w:sz w:val="36"/>
          <w:szCs w:val="36"/>
        </w:rPr>
      </w:r>
    </w:p>
    <w:p>
      <w:pPr>
        <w:pStyle w:val="Normal"/>
        <w:widowControl w:val="false"/>
        <w:numPr>
          <w:ilvl w:val="0"/>
          <w:numId w:val="0"/>
        </w:numPr>
        <w:ind w:left="0" w:hanging="0"/>
        <w:jc w:val="center"/>
        <w:outlineLvl w:val="1"/>
        <w:rPr/>
      </w:pPr>
      <w:r>
        <w:rPr/>
      </w:r>
    </w:p>
    <w:p>
      <w:pPr>
        <w:pStyle w:val="Normal"/>
        <w:widowControl w:val="false"/>
        <w:numPr>
          <w:ilvl w:val="0"/>
          <w:numId w:val="0"/>
        </w:numPr>
        <w:ind w:left="0" w:hanging="0"/>
        <w:jc w:val="center"/>
        <w:outlineLvl w:val="1"/>
        <w:rPr/>
      </w:pPr>
      <w:r>
        <w:rPr/>
        <w:t xml:space="preserve">(в ред. от 18.04.2018 № 239, от 29.06.2018 № 392, от 04.10.2018 № 550, от 29.12.2018 № 724, от 24.04.2019 № 217, от 24.04.2019 № 218, от 11.07.2019 № 375, от  14.10.2019 № 547, от 30.12.2019 № 740, от </w:t>
      </w:r>
      <w:r>
        <w:rPr>
          <w:rFonts w:eastAsia="Times New Roman" w:cs="Times New Roman"/>
          <w:sz w:val="24"/>
          <w:szCs w:val="24"/>
          <w:lang w:eastAsia="ru-RU"/>
        </w:rPr>
        <w:t>22.</w:t>
      </w:r>
      <w:r>
        <w:rPr/>
        <w:t xml:space="preserve">04.2020 № 190, </w:t>
      </w:r>
      <w:r>
        <w:rPr/>
        <w:t xml:space="preserve">от    07.2020 №      </w:t>
      </w:r>
      <w:r>
        <w:rPr/>
        <w:t>)</w:t>
      </w:r>
    </w:p>
    <w:p>
      <w:pPr>
        <w:pStyle w:val="Normal"/>
        <w:widowControl w:val="false"/>
        <w:numPr>
          <w:ilvl w:val="0"/>
          <w:numId w:val="0"/>
        </w:numPr>
        <w:ind w:left="0" w:hanging="0"/>
        <w:jc w:val="center"/>
        <w:outlineLvl w:val="1"/>
        <w:rPr>
          <w:sz w:val="36"/>
          <w:szCs w:val="36"/>
        </w:rPr>
      </w:pPr>
      <w:r>
        <w:rPr>
          <w:sz w:val="36"/>
          <w:szCs w:val="36"/>
        </w:rPr>
      </w:r>
    </w:p>
    <w:p>
      <w:pPr>
        <w:pStyle w:val="Normal"/>
        <w:widowControl w:val="false"/>
        <w:numPr>
          <w:ilvl w:val="0"/>
          <w:numId w:val="0"/>
        </w:numPr>
        <w:ind w:left="0" w:hanging="0"/>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right"/>
        <w:outlineLvl w:val="1"/>
        <w:rPr/>
      </w:pPr>
      <w:r>
        <w:rPr/>
      </w:r>
    </w:p>
    <w:p>
      <w:pPr>
        <w:pStyle w:val="Normal"/>
        <w:widowControl w:val="false"/>
        <w:numPr>
          <w:ilvl w:val="0"/>
          <w:numId w:val="0"/>
        </w:numPr>
        <w:ind w:left="0" w:hanging="0"/>
        <w:jc w:val="center"/>
        <w:outlineLvl w:val="1"/>
        <w:rPr/>
      </w:pPr>
      <w:r>
        <w:rPr/>
        <w:t>Городской округ ЗАТО Свободный</w:t>
      </w:r>
    </w:p>
    <w:p>
      <w:pPr>
        <w:pStyle w:val="Normal"/>
        <w:widowControl w:val="false"/>
        <w:numPr>
          <w:ilvl w:val="0"/>
          <w:numId w:val="0"/>
        </w:numPr>
        <w:ind w:left="0" w:hanging="0"/>
        <w:jc w:val="center"/>
        <w:outlineLvl w:val="1"/>
        <w:rPr/>
      </w:pPr>
      <w:r>
        <w:rPr/>
        <w:t>2017 год</w:t>
      </w:r>
    </w:p>
    <w:p>
      <w:pPr>
        <w:pStyle w:val="Normal"/>
        <w:spacing w:lineRule="auto" w:line="276" w:before="0" w:after="200"/>
        <w:rPr/>
      </w:pPr>
      <w:r>
        <w:rPr/>
      </w:r>
      <w:r>
        <w:br w:type="page"/>
      </w:r>
    </w:p>
    <w:p>
      <w:pPr>
        <w:pStyle w:val="Normal"/>
        <w:widowControl w:val="false"/>
        <w:jc w:val="center"/>
        <w:rPr/>
      </w:pPr>
      <w:r>
        <w:rPr/>
        <w:t>ПАСПОРТ</w:t>
      </w:r>
    </w:p>
    <w:p>
      <w:pPr>
        <w:pStyle w:val="Normal"/>
        <w:widowControl w:val="false"/>
        <w:jc w:val="center"/>
        <w:rPr/>
      </w:pPr>
      <w:r>
        <w:rPr/>
        <w:t>МУНИЦИПАЛЬНОЙ ПРОГРАММЫ</w:t>
      </w:r>
    </w:p>
    <w:p>
      <w:pPr>
        <w:pStyle w:val="Normal"/>
        <w:widowControl w:val="false"/>
        <w:jc w:val="center"/>
        <w:rPr>
          <w:sz w:val="28"/>
          <w:szCs w:val="28"/>
        </w:rPr>
      </w:pPr>
      <w:r>
        <w:rPr>
          <w:sz w:val="28"/>
          <w:szCs w:val="28"/>
        </w:rPr>
        <w:t>«Совершенствование социально-экономической политики и эффективности муниципального управления»</w:t>
      </w:r>
    </w:p>
    <w:p>
      <w:pPr>
        <w:pStyle w:val="Normal"/>
        <w:widowControl w:val="false"/>
        <w:rPr>
          <w:sz w:val="28"/>
          <w:szCs w:val="28"/>
        </w:rPr>
      </w:pPr>
      <w:r>
        <w:rPr>
          <w:sz w:val="28"/>
          <w:szCs w:val="28"/>
        </w:rPr>
      </w:r>
    </w:p>
    <w:tbl>
      <w:tblPr>
        <w:tblW w:w="9639" w:type="dxa"/>
        <w:jc w:val="left"/>
        <w:tblInd w:w="75" w:type="dxa"/>
        <w:tblCellMar>
          <w:top w:w="0" w:type="dxa"/>
          <w:left w:w="75" w:type="dxa"/>
          <w:bottom w:w="0" w:type="dxa"/>
          <w:right w:w="75" w:type="dxa"/>
        </w:tblCellMar>
        <w:tblLook w:firstRow="1" w:noVBand="1" w:lastRow="0" w:firstColumn="1" w:lastColumn="0" w:noHBand="0" w:val="04a0"/>
      </w:tblPr>
      <w:tblGrid>
        <w:gridCol w:w="3827"/>
        <w:gridCol w:w="5811"/>
      </w:tblGrid>
      <w:tr>
        <w:trPr>
          <w:trHeight w:val="400" w:hRule="atLeast"/>
        </w:trPr>
        <w:tc>
          <w:tcPr>
            <w:tcW w:w="382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Ответственный исполнитель муниципальной программы</w:t>
            </w:r>
          </w:p>
          <w:p>
            <w:pPr>
              <w:pStyle w:val="Normal"/>
              <w:widowControl w:val="false"/>
              <w:rPr>
                <w:sz w:val="28"/>
                <w:szCs w:val="28"/>
              </w:rPr>
            </w:pPr>
            <w:r>
              <w:rPr>
                <w:sz w:val="28"/>
                <w:szCs w:val="28"/>
              </w:rPr>
            </w:r>
          </w:p>
        </w:tc>
        <w:tc>
          <w:tcPr>
            <w:tcW w:w="5811"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Администрация городского округа </w:t>
            </w:r>
          </w:p>
          <w:p>
            <w:pPr>
              <w:pStyle w:val="Normal"/>
              <w:widowControl w:val="false"/>
              <w:rPr>
                <w:sz w:val="28"/>
                <w:szCs w:val="28"/>
              </w:rPr>
            </w:pPr>
            <w:r>
              <w:rPr>
                <w:sz w:val="28"/>
                <w:szCs w:val="28"/>
              </w:rPr>
              <w:t xml:space="preserve">ЗАТО Свободный </w:t>
            </w:r>
          </w:p>
          <w:p>
            <w:pPr>
              <w:pStyle w:val="Normal"/>
              <w:widowControl w:val="false"/>
              <w:rPr>
                <w:sz w:val="28"/>
                <w:szCs w:val="28"/>
              </w:rPr>
            </w:pPr>
            <w:r>
              <w:rPr>
                <w:sz w:val="28"/>
                <w:szCs w:val="28"/>
              </w:rPr>
            </w:r>
          </w:p>
          <w:p>
            <w:pPr>
              <w:pStyle w:val="Normal"/>
              <w:widowControl w:val="false"/>
              <w:jc w:val="both"/>
              <w:rPr>
                <w:sz w:val="28"/>
                <w:szCs w:val="28"/>
              </w:rPr>
            </w:pPr>
            <w:r>
              <w:rPr>
                <w:sz w:val="28"/>
                <w:szCs w:val="28"/>
              </w:rPr>
              <w:t>Соисполнители муниципальной программы:</w:t>
            </w:r>
          </w:p>
          <w:p>
            <w:pPr>
              <w:pStyle w:val="Normal"/>
              <w:jc w:val="both"/>
              <w:rPr>
                <w:sz w:val="28"/>
                <w:szCs w:val="28"/>
              </w:rPr>
            </w:pPr>
            <w:r>
              <w:rPr>
                <w:sz w:val="28"/>
                <w:szCs w:val="28"/>
              </w:rPr>
              <w:t>Дума городского округа ЗАТО Свободный.</w:t>
            </w:r>
          </w:p>
          <w:p>
            <w:pPr>
              <w:pStyle w:val="Normal"/>
              <w:widowControl w:val="false"/>
              <w:jc w:val="both"/>
              <w:rPr>
                <w:sz w:val="28"/>
                <w:szCs w:val="28"/>
              </w:rPr>
            </w:pPr>
            <w:r>
              <w:rPr>
                <w:sz w:val="28"/>
                <w:szCs w:val="28"/>
              </w:rPr>
              <w:t>Контрольный орган городского округа ЗАТО Свободный.</w:t>
            </w:r>
          </w:p>
          <w:p>
            <w:pPr>
              <w:pStyle w:val="Normal"/>
              <w:widowControl w:val="false"/>
              <w:jc w:val="both"/>
              <w:rPr>
                <w:sz w:val="28"/>
                <w:szCs w:val="28"/>
              </w:rPr>
            </w:pPr>
            <w:r>
              <w:rPr>
                <w:sz w:val="28"/>
                <w:szCs w:val="28"/>
              </w:rPr>
              <w:t>Муниципальное казенное учреждение «Административно-хозяйственная служба».</w:t>
            </w:r>
          </w:p>
          <w:p>
            <w:pPr>
              <w:pStyle w:val="Normal"/>
              <w:widowControl w:val="false"/>
              <w:jc w:val="both"/>
              <w:rPr>
                <w:sz w:val="28"/>
                <w:szCs w:val="28"/>
              </w:rPr>
            </w:pPr>
            <w:r>
              <w:rPr>
                <w:sz w:val="28"/>
                <w:szCs w:val="28"/>
              </w:rPr>
              <w:t>Муниципальные учреждения.</w:t>
            </w:r>
          </w:p>
          <w:p>
            <w:pPr>
              <w:pStyle w:val="Normal"/>
              <w:widowControl w:val="false"/>
              <w:jc w:val="both"/>
              <w:rPr>
                <w:sz w:val="28"/>
                <w:szCs w:val="28"/>
              </w:rPr>
            </w:pPr>
            <w:r>
              <w:rPr>
                <w:sz w:val="28"/>
                <w:szCs w:val="28"/>
              </w:rPr>
              <w:t>Физические и юридические лица, оказывающие поставку товаров, выполнение работ и (или) оказание услуг.</w:t>
            </w:r>
          </w:p>
        </w:tc>
      </w:tr>
      <w:tr>
        <w:trPr>
          <w:trHeight w:val="400"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Сроки реализации</w:t>
            </w:r>
          </w:p>
          <w:p>
            <w:pPr>
              <w:pStyle w:val="Normal"/>
              <w:widowControl w:val="false"/>
              <w:rPr>
                <w:sz w:val="28"/>
                <w:szCs w:val="28"/>
              </w:rPr>
            </w:pPr>
            <w:r>
              <w:rPr>
                <w:sz w:val="28"/>
                <w:szCs w:val="28"/>
              </w:rPr>
              <w:t xml:space="preserve">муниципальной программы </w:t>
            </w:r>
          </w:p>
        </w:tc>
        <w:tc>
          <w:tcPr>
            <w:tcW w:w="58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2016-2024 годы</w:t>
            </w:r>
          </w:p>
        </w:tc>
      </w:tr>
      <w:tr>
        <w:trPr>
          <w:trHeight w:val="400"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Цели и задачи </w:t>
            </w:r>
          </w:p>
          <w:p>
            <w:pPr>
              <w:pStyle w:val="Normal"/>
              <w:widowControl w:val="false"/>
              <w:rPr>
                <w:sz w:val="28"/>
                <w:szCs w:val="28"/>
              </w:rPr>
            </w:pPr>
            <w:r>
              <w:rPr>
                <w:sz w:val="28"/>
                <w:szCs w:val="28"/>
              </w:rPr>
              <w:t>муниципальной программы</w:t>
            </w:r>
          </w:p>
        </w:tc>
        <w:tc>
          <w:tcPr>
            <w:tcW w:w="5811"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pPr>
              <w:pStyle w:val="Normal"/>
              <w:widowControl w:val="false"/>
              <w:jc w:val="both"/>
              <w:rPr>
                <w:sz w:val="28"/>
                <w:szCs w:val="28"/>
              </w:rPr>
            </w:pPr>
            <w:r>
              <w:rPr>
                <w:sz w:val="28"/>
                <w:szCs w:val="28"/>
              </w:rPr>
              <w:t>Задачи:</w:t>
            </w:r>
          </w:p>
          <w:p>
            <w:pPr>
              <w:pStyle w:val="Normal"/>
              <w:widowControl w:val="false"/>
              <w:jc w:val="both"/>
              <w:rPr>
                <w:sz w:val="28"/>
                <w:szCs w:val="28"/>
              </w:rPr>
            </w:pPr>
            <w:r>
              <w:rPr>
                <w:sz w:val="28"/>
                <w:szCs w:val="28"/>
              </w:rPr>
              <w:t>1. Повышение уровня социально-экономического развития.</w:t>
            </w:r>
          </w:p>
          <w:p>
            <w:pPr>
              <w:pStyle w:val="Normal"/>
              <w:widowControl w:val="false"/>
              <w:jc w:val="both"/>
              <w:rPr>
                <w:sz w:val="28"/>
                <w:szCs w:val="28"/>
              </w:rPr>
            </w:pPr>
            <w:r>
              <w:rPr>
                <w:sz w:val="28"/>
                <w:szCs w:val="28"/>
              </w:rPr>
              <w:t>2.Повышения качества и доступности муниципальных услуг.</w:t>
            </w:r>
          </w:p>
          <w:p>
            <w:pPr>
              <w:pStyle w:val="Normal"/>
              <w:widowControl w:val="false"/>
              <w:jc w:val="both"/>
              <w:rPr>
                <w:sz w:val="28"/>
                <w:szCs w:val="28"/>
              </w:rPr>
            </w:pPr>
            <w:r>
              <w:rPr>
                <w:sz w:val="28"/>
                <w:szCs w:val="28"/>
              </w:rPr>
              <w:t>3. Повышение эффективности деятельности органов местного самоуправления.</w:t>
            </w:r>
          </w:p>
          <w:p>
            <w:pPr>
              <w:pStyle w:val="Normal"/>
              <w:widowControl w:val="false"/>
              <w:jc w:val="both"/>
              <w:rPr>
                <w:sz w:val="28"/>
                <w:szCs w:val="28"/>
              </w:rPr>
            </w:pPr>
            <w:r>
              <w:rPr>
                <w:sz w:val="28"/>
                <w:szCs w:val="28"/>
              </w:rPr>
              <w:t>4. Создание эффективных механизмов взаимодействия органов местного самоуправления и населения городского округа.</w:t>
            </w:r>
          </w:p>
        </w:tc>
      </w:tr>
      <w:tr>
        <w:trPr>
          <w:trHeight w:val="264"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Перечень подпрограмм</w:t>
            </w:r>
          </w:p>
          <w:p>
            <w:pPr>
              <w:pStyle w:val="Normal"/>
              <w:widowControl w:val="false"/>
              <w:rPr>
                <w:sz w:val="28"/>
                <w:szCs w:val="28"/>
              </w:rPr>
            </w:pPr>
            <w:r>
              <w:rPr>
                <w:sz w:val="28"/>
                <w:szCs w:val="28"/>
              </w:rPr>
              <w:t>муниципальной программы</w:t>
            </w:r>
          </w:p>
        </w:tc>
        <w:tc>
          <w:tcPr>
            <w:tcW w:w="5811" w:type="dxa"/>
            <w:tcBorders>
              <w:left w:val="single" w:sz="8" w:space="0" w:color="000000"/>
              <w:bottom w:val="single" w:sz="8" w:space="0" w:color="000000"/>
              <w:right w:val="single" w:sz="8" w:space="0" w:color="000000"/>
            </w:tcBorders>
          </w:tcPr>
          <w:p>
            <w:pPr>
              <w:pStyle w:val="Normal"/>
              <w:jc w:val="both"/>
              <w:rPr>
                <w:sz w:val="28"/>
                <w:szCs w:val="28"/>
              </w:rPr>
            </w:pPr>
            <w:r>
              <w:rPr>
                <w:sz w:val="28"/>
                <w:szCs w:val="28"/>
              </w:rPr>
              <w:t>1. Развитие субъектов малого и среднего предпринимательства.</w:t>
            </w:r>
          </w:p>
          <w:p>
            <w:pPr>
              <w:pStyle w:val="Normal"/>
              <w:jc w:val="both"/>
              <w:rPr>
                <w:sz w:val="28"/>
                <w:szCs w:val="28"/>
              </w:rPr>
            </w:pPr>
            <w:r>
              <w:rPr>
                <w:sz w:val="28"/>
                <w:szCs w:val="28"/>
              </w:rPr>
              <w:t>2. Управление муниципальной собственностью.</w:t>
            </w:r>
          </w:p>
          <w:p>
            <w:pPr>
              <w:pStyle w:val="Normal"/>
              <w:jc w:val="both"/>
              <w:rPr>
                <w:sz w:val="28"/>
                <w:szCs w:val="28"/>
              </w:rPr>
            </w:pPr>
            <w:r>
              <w:rPr>
                <w:sz w:val="28"/>
                <w:szCs w:val="28"/>
              </w:rPr>
              <w:t>3. Развитие информационного общества.</w:t>
            </w:r>
          </w:p>
          <w:p>
            <w:pPr>
              <w:pStyle w:val="Normal"/>
              <w:jc w:val="both"/>
              <w:rPr>
                <w:sz w:val="28"/>
                <w:szCs w:val="28"/>
              </w:rPr>
            </w:pPr>
            <w:r>
              <w:rPr>
                <w:sz w:val="28"/>
                <w:szCs w:val="28"/>
              </w:rPr>
              <w:t>4. Создание условий для обеспечения выполнения функций органами местного самоуправления.</w:t>
            </w:r>
          </w:p>
        </w:tc>
      </w:tr>
      <w:tr>
        <w:trPr>
          <w:trHeight w:val="600"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Перечень основных целевых </w:t>
            </w:r>
          </w:p>
          <w:p>
            <w:pPr>
              <w:pStyle w:val="Normal"/>
              <w:widowControl w:val="false"/>
              <w:rPr>
                <w:sz w:val="28"/>
                <w:szCs w:val="28"/>
              </w:rPr>
            </w:pPr>
            <w:r>
              <w:rPr>
                <w:sz w:val="28"/>
                <w:szCs w:val="28"/>
              </w:rPr>
              <w:t>показателеймуниципальной программы</w:t>
            </w:r>
          </w:p>
        </w:tc>
        <w:tc>
          <w:tcPr>
            <w:tcW w:w="5811" w:type="dxa"/>
            <w:tcBorders>
              <w:left w:val="single" w:sz="8" w:space="0" w:color="000000"/>
              <w:bottom w:val="single" w:sz="8" w:space="0" w:color="000000"/>
              <w:right w:val="single" w:sz="8" w:space="0" w:color="000000"/>
            </w:tcBorders>
          </w:tcPr>
          <w:p>
            <w:pPr>
              <w:pStyle w:val="Normal"/>
              <w:jc w:val="both"/>
              <w:rPr>
                <w:sz w:val="28"/>
                <w:szCs w:val="28"/>
              </w:rPr>
            </w:pPr>
            <w:r>
              <w:rPr>
                <w:sz w:val="28"/>
                <w:szCs w:val="28"/>
              </w:rPr>
              <w:t>1. Число субъектов малого и среднего предпринимательства в расчете на 10 тыс. человек населения.</w:t>
            </w:r>
          </w:p>
          <w:p>
            <w:pPr>
              <w:pStyle w:val="Normal"/>
              <w:jc w:val="both"/>
              <w:rPr>
                <w:sz w:val="28"/>
                <w:szCs w:val="28"/>
              </w:rPr>
            </w:pPr>
            <w:r>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pPr>
              <w:pStyle w:val="Normal"/>
              <w:jc w:val="both"/>
              <w:rPr>
                <w:sz w:val="28"/>
                <w:szCs w:val="28"/>
              </w:rPr>
            </w:pPr>
            <w:r>
              <w:rPr>
                <w:sz w:val="28"/>
                <w:szCs w:val="28"/>
              </w:rPr>
              <w:t>3. Число субъектов малого и среднего предпринимательства – участников массовых мероприятий.</w:t>
            </w:r>
          </w:p>
          <w:p>
            <w:pPr>
              <w:pStyle w:val="Normal"/>
              <w:jc w:val="both"/>
              <w:rPr>
                <w:sz w:val="28"/>
                <w:szCs w:val="28"/>
              </w:rPr>
            </w:pPr>
            <w:r>
              <w:rPr>
                <w:sz w:val="28"/>
                <w:szCs w:val="28"/>
              </w:rPr>
              <w:t>4. Число граждан – участников массовых мероприятий.</w:t>
            </w:r>
          </w:p>
          <w:p>
            <w:pPr>
              <w:pStyle w:val="Normal"/>
              <w:jc w:val="both"/>
              <w:rPr>
                <w:sz w:val="28"/>
                <w:szCs w:val="28"/>
              </w:rPr>
            </w:pPr>
            <w:r>
              <w:rPr>
                <w:sz w:val="28"/>
                <w:szCs w:val="28"/>
              </w:rPr>
              <w:t>5. Количество земельных участков, по которым проведены работы по установлению координат земельных участков.</w:t>
            </w:r>
          </w:p>
          <w:p>
            <w:pPr>
              <w:pStyle w:val="Normal"/>
              <w:jc w:val="both"/>
              <w:rPr>
                <w:sz w:val="28"/>
                <w:szCs w:val="28"/>
              </w:rPr>
            </w:pPr>
            <w:r>
              <w:rPr>
                <w:sz w:val="28"/>
                <w:szCs w:val="28"/>
              </w:rPr>
              <w:t>6. Выполнение плана собираемости неналоговых поступлений в бюджет городского округа от использования и приватизации муниципального имущества.</w:t>
            </w:r>
          </w:p>
          <w:p>
            <w:pPr>
              <w:pStyle w:val="Normal"/>
              <w:jc w:val="both"/>
              <w:rPr>
                <w:sz w:val="28"/>
                <w:szCs w:val="28"/>
              </w:rPr>
            </w:pPr>
            <w:r>
              <w:rPr>
                <w:sz w:val="28"/>
                <w:szCs w:val="28"/>
              </w:rPr>
              <w:t>7.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pPr>
              <w:pStyle w:val="Normal"/>
              <w:jc w:val="both"/>
              <w:rPr>
                <w:sz w:val="28"/>
                <w:szCs w:val="28"/>
              </w:rPr>
            </w:pPr>
            <w:r>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pPr>
              <w:pStyle w:val="Normal"/>
              <w:jc w:val="both"/>
              <w:rPr>
                <w:sz w:val="28"/>
                <w:szCs w:val="28"/>
              </w:rPr>
            </w:pPr>
            <w:r>
              <w:rPr>
                <w:sz w:val="28"/>
                <w:szCs w:val="28"/>
              </w:rPr>
              <w:t>9.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p>
            <w:pPr>
              <w:pStyle w:val="Normal"/>
              <w:jc w:val="both"/>
              <w:rPr>
                <w:sz w:val="28"/>
                <w:szCs w:val="28"/>
              </w:rPr>
            </w:pPr>
            <w:r>
              <w:rPr>
                <w:sz w:val="28"/>
                <w:szCs w:val="28"/>
              </w:rPr>
              <w:t>10. Доля персональных компьютеров работников органов местного самоуправления, на которых организован доступ в сеть Интернет.</w:t>
            </w:r>
          </w:p>
          <w:p>
            <w:pPr>
              <w:pStyle w:val="Normal"/>
              <w:widowControl w:val="false"/>
              <w:jc w:val="both"/>
              <w:rPr>
                <w:sz w:val="28"/>
                <w:szCs w:val="28"/>
              </w:rPr>
            </w:pPr>
            <w:r>
              <w:rPr>
                <w:sz w:val="28"/>
                <w:szCs w:val="28"/>
              </w:rPr>
              <w:t>11. Наличие центра общественного доступа к сети Интернет на территории городского округа.</w:t>
            </w:r>
          </w:p>
          <w:p>
            <w:pPr>
              <w:pStyle w:val="Normal"/>
              <w:widowControl w:val="false"/>
              <w:jc w:val="both"/>
              <w:rPr>
                <w:sz w:val="28"/>
                <w:szCs w:val="28"/>
              </w:rPr>
            </w:pPr>
            <w:r>
              <w:rPr>
                <w:sz w:val="28"/>
                <w:szCs w:val="28"/>
              </w:rPr>
              <w:t>12. Посещаемость Официального сайта городского округа.</w:t>
            </w:r>
          </w:p>
          <w:p>
            <w:pPr>
              <w:pStyle w:val="Normal"/>
              <w:widowControl w:val="false"/>
              <w:jc w:val="both"/>
              <w:rPr>
                <w:sz w:val="28"/>
                <w:szCs w:val="28"/>
              </w:rPr>
            </w:pPr>
            <w:r>
              <w:rPr>
                <w:sz w:val="28"/>
                <w:szCs w:val="28"/>
              </w:rPr>
              <w:t xml:space="preserve">13. Уровень удовлетворенности граждан качеством предоставления муниципальных услуг. </w:t>
            </w:r>
          </w:p>
          <w:p>
            <w:pPr>
              <w:pStyle w:val="NoSpacing"/>
              <w:jc w:val="both"/>
              <w:rPr>
                <w:sz w:val="28"/>
                <w:szCs w:val="28"/>
              </w:rPr>
            </w:pPr>
            <w:r>
              <w:rPr>
                <w:sz w:val="28"/>
                <w:szCs w:val="28"/>
              </w:rPr>
              <w:t>14. Доля населения, удовлетворенного деятельностью органов местного самоуправления.</w:t>
            </w:r>
          </w:p>
          <w:p>
            <w:pPr>
              <w:pStyle w:val="NoSpacing"/>
              <w:jc w:val="both"/>
              <w:rPr>
                <w:sz w:val="28"/>
                <w:szCs w:val="28"/>
              </w:rPr>
            </w:pPr>
            <w:r>
              <w:rPr>
                <w:sz w:val="28"/>
                <w:szCs w:val="28"/>
              </w:rPr>
              <w:t>15. Сокращение времени ожидания в очереди при обращении заявителя для получения муниципальной услуги</w:t>
            </w:r>
          </w:p>
          <w:p>
            <w:pPr>
              <w:pStyle w:val="Normal"/>
              <w:jc w:val="both"/>
              <w:rPr>
                <w:sz w:val="28"/>
                <w:szCs w:val="28"/>
              </w:rPr>
            </w:pPr>
            <w:r>
              <w:rPr>
                <w:sz w:val="28"/>
                <w:szCs w:val="28"/>
              </w:rPr>
              <w:t>16. Количество обучающих семинаров, в которых приняли участие выборные должностные лица и муниципальные служащие органов местного самоуправления.</w:t>
            </w:r>
          </w:p>
          <w:p>
            <w:pPr>
              <w:pStyle w:val="Normal"/>
              <w:jc w:val="both"/>
              <w:rPr>
                <w:sz w:val="28"/>
                <w:szCs w:val="28"/>
              </w:rPr>
            </w:pPr>
            <w:r>
              <w:rPr>
                <w:sz w:val="28"/>
                <w:szCs w:val="28"/>
              </w:rPr>
              <w:t>17.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trPr>
          <w:trHeight w:val="48"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Объемы финансирования </w:t>
            </w:r>
          </w:p>
          <w:p>
            <w:pPr>
              <w:pStyle w:val="Normal"/>
              <w:widowControl w:val="false"/>
              <w:rPr>
                <w:sz w:val="28"/>
                <w:szCs w:val="28"/>
              </w:rPr>
            </w:pPr>
            <w:r>
              <w:rPr>
                <w:sz w:val="28"/>
                <w:szCs w:val="28"/>
              </w:rPr>
              <w:t>муниципальной программы</w:t>
            </w:r>
          </w:p>
          <w:p>
            <w:pPr>
              <w:pStyle w:val="Normal"/>
              <w:widowControl w:val="false"/>
              <w:rPr>
                <w:sz w:val="28"/>
                <w:szCs w:val="28"/>
              </w:rPr>
            </w:pPr>
            <w:r>
              <w:rPr>
                <w:sz w:val="28"/>
                <w:szCs w:val="28"/>
              </w:rPr>
              <w:t xml:space="preserve">по годам реализации, тыс. рублей </w:t>
            </w:r>
          </w:p>
        </w:tc>
        <w:tc>
          <w:tcPr>
            <w:tcW w:w="58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ВСЕГО: </w:t>
            </w:r>
            <w:r>
              <w:rPr>
                <w:rFonts w:eastAsia="Times New Roman" w:cs="Times New Roman"/>
                <w:color w:val="auto"/>
                <w:kern w:val="0"/>
                <w:sz w:val="28"/>
                <w:szCs w:val="28"/>
                <w:lang w:val="ru-RU" w:eastAsia="ru-RU" w:bidi="ar-SA"/>
              </w:rPr>
              <w:t>226460,3</w:t>
            </w:r>
            <w:r>
              <w:rPr>
                <w:sz w:val="28"/>
                <w:szCs w:val="28"/>
              </w:rPr>
              <w:t xml:space="preserve">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18482,8 тыс. руб.;</w:t>
            </w:r>
          </w:p>
          <w:p>
            <w:pPr>
              <w:pStyle w:val="Normal"/>
              <w:widowControl w:val="false"/>
              <w:rPr>
                <w:sz w:val="28"/>
                <w:szCs w:val="28"/>
              </w:rPr>
            </w:pPr>
            <w:r>
              <w:rPr>
                <w:sz w:val="28"/>
                <w:szCs w:val="28"/>
              </w:rPr>
              <w:t>2017 год – 24477,9 тыс. руб.;</w:t>
            </w:r>
          </w:p>
          <w:p>
            <w:pPr>
              <w:pStyle w:val="Normal"/>
              <w:widowControl w:val="false"/>
              <w:rPr>
                <w:sz w:val="28"/>
                <w:szCs w:val="28"/>
              </w:rPr>
            </w:pPr>
            <w:r>
              <w:rPr>
                <w:sz w:val="28"/>
                <w:szCs w:val="28"/>
              </w:rPr>
              <w:t>2018 год – 23938,6 тыс. руб.;</w:t>
            </w:r>
          </w:p>
          <w:p>
            <w:pPr>
              <w:pStyle w:val="Normal"/>
              <w:widowControl w:val="false"/>
              <w:rPr>
                <w:sz w:val="28"/>
                <w:szCs w:val="28"/>
              </w:rPr>
            </w:pPr>
            <w:r>
              <w:rPr>
                <w:sz w:val="28"/>
                <w:szCs w:val="28"/>
              </w:rPr>
              <w:t>2019 год – 23200,0 тыс. руб.;</w:t>
            </w:r>
          </w:p>
          <w:p>
            <w:pPr>
              <w:pStyle w:val="Normal"/>
              <w:widowControl w:val="false"/>
              <w:rPr>
                <w:sz w:val="28"/>
                <w:szCs w:val="28"/>
              </w:rPr>
            </w:pPr>
            <w:bookmarkStart w:id="2" w:name="OLE_LINK1"/>
            <w:bookmarkStart w:id="3" w:name="OLE_LINK2"/>
            <w:r>
              <w:rPr>
                <w:sz w:val="28"/>
                <w:szCs w:val="28"/>
              </w:rPr>
              <w:t xml:space="preserve">2020 год – </w:t>
            </w:r>
            <w:r>
              <w:rPr>
                <w:rFonts w:eastAsia="Times New Roman" w:cs="Times New Roman"/>
                <w:color w:val="auto"/>
                <w:kern w:val="0"/>
                <w:sz w:val="28"/>
                <w:szCs w:val="28"/>
                <w:lang w:val="ru-RU" w:eastAsia="ru-RU" w:bidi="ar-SA"/>
              </w:rPr>
              <w:t>31483,8</w:t>
            </w:r>
            <w:r>
              <w:rPr>
                <w:sz w:val="28"/>
                <w:szCs w:val="28"/>
              </w:rPr>
              <w:t xml:space="preserve"> тыс. руб.</w:t>
            </w:r>
            <w:bookmarkEnd w:id="2"/>
            <w:bookmarkEnd w:id="3"/>
            <w:r>
              <w:rPr>
                <w:sz w:val="28"/>
                <w:szCs w:val="28"/>
              </w:rPr>
              <w:t>;</w:t>
            </w:r>
          </w:p>
          <w:p>
            <w:pPr>
              <w:pStyle w:val="Normal"/>
              <w:widowControl w:val="false"/>
              <w:rPr>
                <w:sz w:val="28"/>
                <w:szCs w:val="28"/>
              </w:rPr>
            </w:pPr>
            <w:bookmarkStart w:id="4" w:name="OLE_LINK3"/>
            <w:bookmarkStart w:id="5" w:name="OLE_LINK4"/>
            <w:bookmarkStart w:id="6" w:name="OLE_LINK5"/>
            <w:r>
              <w:rPr>
                <w:sz w:val="28"/>
                <w:szCs w:val="28"/>
              </w:rPr>
              <w:t>2021 год – 25747,4 тыс. руб.</w:t>
            </w:r>
            <w:bookmarkEnd w:id="4"/>
            <w:bookmarkEnd w:id="5"/>
            <w:bookmarkEnd w:id="6"/>
            <w:r>
              <w:rPr>
                <w:sz w:val="28"/>
                <w:szCs w:val="28"/>
              </w:rPr>
              <w:t>;</w:t>
            </w:r>
          </w:p>
          <w:p>
            <w:pPr>
              <w:pStyle w:val="Normal"/>
              <w:widowControl w:val="false"/>
              <w:rPr>
                <w:sz w:val="28"/>
                <w:szCs w:val="28"/>
              </w:rPr>
            </w:pPr>
            <w:r>
              <w:rPr>
                <w:sz w:val="28"/>
                <w:szCs w:val="28"/>
              </w:rPr>
              <w:t>2022 год – 26376,6 тыс. руб.;</w:t>
            </w:r>
          </w:p>
          <w:p>
            <w:pPr>
              <w:pStyle w:val="Normal"/>
              <w:widowControl w:val="false"/>
              <w:rPr>
                <w:sz w:val="28"/>
                <w:szCs w:val="28"/>
              </w:rPr>
            </w:pPr>
            <w:r>
              <w:rPr>
                <w:sz w:val="28"/>
                <w:szCs w:val="28"/>
              </w:rPr>
              <w:t>2023 год – 26376,6 тыс. руб.;</w:t>
            </w:r>
          </w:p>
          <w:p>
            <w:pPr>
              <w:pStyle w:val="Normal"/>
              <w:widowControl w:val="false"/>
              <w:rPr>
                <w:sz w:val="28"/>
                <w:szCs w:val="28"/>
              </w:rPr>
            </w:pPr>
            <w:r>
              <w:rPr>
                <w:sz w:val="28"/>
                <w:szCs w:val="28"/>
              </w:rPr>
              <w:t>2024 год – 26376,6 тыс. руб.</w:t>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 xml:space="preserve">местный бюджет: </w:t>
            </w:r>
            <w:r>
              <w:rPr>
                <w:rFonts w:eastAsia="Times New Roman" w:cs="Times New Roman"/>
                <w:color w:val="auto"/>
                <w:kern w:val="0"/>
                <w:sz w:val="28"/>
                <w:szCs w:val="28"/>
                <w:lang w:val="ru-RU" w:eastAsia="ru-RU" w:bidi="ar-SA"/>
              </w:rPr>
              <w:t>226188,0</w:t>
            </w:r>
            <w:r>
              <w:rPr>
                <w:sz w:val="28"/>
                <w:szCs w:val="28"/>
              </w:rPr>
              <w:t xml:space="preserve">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18382,8 тыс. руб.;</w:t>
            </w:r>
          </w:p>
          <w:p>
            <w:pPr>
              <w:pStyle w:val="Normal"/>
              <w:widowControl w:val="false"/>
              <w:rPr>
                <w:sz w:val="28"/>
                <w:szCs w:val="28"/>
              </w:rPr>
            </w:pPr>
            <w:r>
              <w:rPr>
                <w:sz w:val="28"/>
                <w:szCs w:val="28"/>
              </w:rPr>
              <w:t>2017 год – 24305,6 тыс. руб.;</w:t>
            </w:r>
          </w:p>
          <w:p>
            <w:pPr>
              <w:pStyle w:val="Normal"/>
              <w:widowControl w:val="false"/>
              <w:rPr>
                <w:sz w:val="28"/>
                <w:szCs w:val="28"/>
              </w:rPr>
            </w:pPr>
            <w:r>
              <w:rPr>
                <w:sz w:val="28"/>
                <w:szCs w:val="28"/>
              </w:rPr>
              <w:t>2018 год – 23938,6 тыс. руб.;</w:t>
            </w:r>
          </w:p>
          <w:p>
            <w:pPr>
              <w:pStyle w:val="Normal"/>
              <w:widowControl w:val="false"/>
              <w:rPr>
                <w:sz w:val="28"/>
                <w:szCs w:val="28"/>
              </w:rPr>
            </w:pPr>
            <w:r>
              <w:rPr>
                <w:sz w:val="28"/>
                <w:szCs w:val="28"/>
              </w:rPr>
              <w:t>2019 год – 23200,0 тыс. руб.;</w:t>
            </w:r>
          </w:p>
          <w:p>
            <w:pPr>
              <w:pStyle w:val="Normal"/>
              <w:widowControl w:val="false"/>
              <w:rPr>
                <w:sz w:val="28"/>
                <w:szCs w:val="28"/>
              </w:rPr>
            </w:pPr>
            <w:bookmarkStart w:id="7" w:name="OLE_LINK6"/>
            <w:bookmarkStart w:id="8" w:name="OLE_LINK7"/>
            <w:r>
              <w:rPr>
                <w:sz w:val="28"/>
                <w:szCs w:val="28"/>
              </w:rPr>
              <w:t xml:space="preserve">2020 год – </w:t>
            </w:r>
            <w:r>
              <w:rPr>
                <w:rFonts w:eastAsia="Times New Roman" w:cs="Times New Roman"/>
                <w:color w:val="auto"/>
                <w:kern w:val="0"/>
                <w:sz w:val="28"/>
                <w:szCs w:val="28"/>
                <w:lang w:val="ru-RU" w:eastAsia="ru-RU" w:bidi="ar-SA"/>
              </w:rPr>
              <w:t>31483,8</w:t>
            </w:r>
            <w:r>
              <w:rPr>
                <w:sz w:val="28"/>
                <w:szCs w:val="28"/>
              </w:rPr>
              <w:t xml:space="preserve"> тыс. руб.</w:t>
            </w:r>
            <w:bookmarkEnd w:id="7"/>
            <w:bookmarkEnd w:id="8"/>
            <w:r>
              <w:rPr>
                <w:sz w:val="28"/>
                <w:szCs w:val="28"/>
              </w:rPr>
              <w:t>;</w:t>
            </w:r>
          </w:p>
          <w:p>
            <w:pPr>
              <w:pStyle w:val="Normal"/>
              <w:widowControl w:val="false"/>
              <w:rPr>
                <w:sz w:val="28"/>
                <w:szCs w:val="28"/>
              </w:rPr>
            </w:pPr>
            <w:bookmarkStart w:id="9" w:name="OLE_LINK8"/>
            <w:bookmarkStart w:id="10" w:name="OLE_LINK9"/>
            <w:r>
              <w:rPr>
                <w:sz w:val="28"/>
                <w:szCs w:val="28"/>
              </w:rPr>
              <w:t>2021 год – 25747,4 тыс. руб.</w:t>
            </w:r>
            <w:bookmarkEnd w:id="9"/>
            <w:bookmarkEnd w:id="10"/>
            <w:r>
              <w:rPr>
                <w:sz w:val="28"/>
                <w:szCs w:val="28"/>
              </w:rPr>
              <w:t>;</w:t>
            </w:r>
          </w:p>
          <w:p>
            <w:pPr>
              <w:pStyle w:val="Normal"/>
              <w:widowControl w:val="false"/>
              <w:rPr>
                <w:sz w:val="28"/>
                <w:szCs w:val="28"/>
              </w:rPr>
            </w:pPr>
            <w:r>
              <w:rPr>
                <w:sz w:val="28"/>
                <w:szCs w:val="28"/>
              </w:rPr>
              <w:t>2022 год – 26376,6 тыс. руб.;</w:t>
            </w:r>
          </w:p>
          <w:p>
            <w:pPr>
              <w:pStyle w:val="Normal"/>
              <w:widowControl w:val="false"/>
              <w:rPr>
                <w:sz w:val="28"/>
                <w:szCs w:val="28"/>
              </w:rPr>
            </w:pPr>
            <w:r>
              <w:rPr>
                <w:sz w:val="28"/>
                <w:szCs w:val="28"/>
              </w:rPr>
              <w:t>2023 год – 26376,6 тыс. руб.;</w:t>
            </w:r>
          </w:p>
          <w:p>
            <w:pPr>
              <w:pStyle w:val="Normal"/>
              <w:widowControl w:val="false"/>
              <w:rPr>
                <w:sz w:val="28"/>
                <w:szCs w:val="28"/>
              </w:rPr>
            </w:pPr>
            <w:bookmarkStart w:id="11" w:name="OLE_LINK10"/>
            <w:bookmarkStart w:id="12" w:name="OLE_LINK11"/>
            <w:r>
              <w:rPr>
                <w:sz w:val="28"/>
                <w:szCs w:val="28"/>
              </w:rPr>
              <w:t>2024 год – 26376,6 тыс. руб.</w:t>
            </w:r>
            <w:bookmarkEnd w:id="11"/>
            <w:bookmarkEnd w:id="12"/>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272,3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100,0 тыс. руб.;</w:t>
            </w:r>
          </w:p>
          <w:p>
            <w:pPr>
              <w:pStyle w:val="Normal"/>
              <w:widowControl w:val="false"/>
              <w:rPr>
                <w:sz w:val="28"/>
                <w:szCs w:val="28"/>
              </w:rPr>
            </w:pPr>
            <w:r>
              <w:rPr>
                <w:sz w:val="28"/>
                <w:szCs w:val="28"/>
              </w:rPr>
              <w:t>2017 год – 172,3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13" w:name="OLE_LINK12"/>
            <w:bookmarkStart w:id="14" w:name="OLE_LINK13"/>
            <w:bookmarkEnd w:id="13"/>
            <w:bookmarkEnd w:id="14"/>
          </w:p>
          <w:p>
            <w:pPr>
              <w:pStyle w:val="Normal"/>
              <w:widowControl w:val="false"/>
              <w:rPr>
                <w:sz w:val="28"/>
                <w:szCs w:val="28"/>
              </w:rPr>
            </w:pPr>
            <w:r>
              <w:rPr>
                <w:sz w:val="28"/>
                <w:szCs w:val="28"/>
              </w:rPr>
            </w:r>
          </w:p>
          <w:p>
            <w:pPr>
              <w:pStyle w:val="Normal"/>
              <w:widowControl w:val="false"/>
              <w:rPr>
                <w:sz w:val="28"/>
                <w:szCs w:val="28"/>
              </w:rPr>
            </w:pPr>
            <w:r>
              <w:rPr>
                <w:sz w:val="28"/>
                <w:szCs w:val="28"/>
              </w:rPr>
              <w:t>федеральный бюджет: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15" w:name="OLE_LINK14"/>
            <w:bookmarkStart w:id="16" w:name="OLE_LINK15"/>
            <w:bookmarkEnd w:id="15"/>
            <w:bookmarkEnd w:id="16"/>
          </w:p>
          <w:p>
            <w:pPr>
              <w:pStyle w:val="Normal"/>
              <w:widowControl w:val="false"/>
              <w:rPr>
                <w:sz w:val="28"/>
                <w:szCs w:val="28"/>
              </w:rPr>
            </w:pPr>
            <w:r>
              <w:rPr>
                <w:sz w:val="28"/>
                <w:szCs w:val="28"/>
              </w:rPr>
            </w:r>
          </w:p>
          <w:p>
            <w:pPr>
              <w:pStyle w:val="Normal"/>
              <w:widowControl w:val="false"/>
              <w:rPr>
                <w:sz w:val="28"/>
                <w:szCs w:val="28"/>
              </w:rPr>
            </w:pPr>
            <w:r>
              <w:rPr>
                <w:sz w:val="28"/>
                <w:szCs w:val="28"/>
              </w:rPr>
              <w:t>внебюджетные источники: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tc>
      </w:tr>
      <w:tr>
        <w:trPr>
          <w:trHeight w:val="600" w:hRule="atLeast"/>
        </w:trPr>
        <w:tc>
          <w:tcPr>
            <w:tcW w:w="3827"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Адрес размещения муниципальной программы в сети Интернет</w:t>
            </w:r>
          </w:p>
        </w:tc>
        <w:tc>
          <w:tcPr>
            <w:tcW w:w="58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адм-затосвободный.РФ</w:t>
            </w:r>
          </w:p>
        </w:tc>
      </w:tr>
    </w:tbl>
    <w:p>
      <w:pPr>
        <w:pStyle w:val="Normal"/>
        <w:rPr>
          <w:sz w:val="28"/>
          <w:szCs w:val="28"/>
        </w:rPr>
      </w:pPr>
      <w:r>
        <w:rPr>
          <w:sz w:val="28"/>
          <w:szCs w:val="28"/>
        </w:rPr>
      </w:r>
    </w:p>
    <w:p>
      <w:pPr>
        <w:pStyle w:val="Normal"/>
        <w:ind w:firstLine="540"/>
        <w:jc w:val="both"/>
        <w:rPr>
          <w:sz w:val="28"/>
          <w:szCs w:val="28"/>
        </w:rPr>
      </w:pPr>
      <w:r>
        <w:rPr>
          <w:b/>
          <w:sz w:val="28"/>
          <w:szCs w:val="28"/>
        </w:rPr>
        <w:t>Раздел 1. Характеристика и анализ текущего состояния сферы реализации муниципальной программы</w:t>
      </w:r>
    </w:p>
    <w:p>
      <w:pPr>
        <w:pStyle w:val="Normal"/>
        <w:shd w:val="clear" w:color="auto" w:fill="FFFFFF"/>
        <w:spacing w:beforeAutospacing="1" w:after="0"/>
        <w:ind w:firstLine="547"/>
        <w:jc w:val="both"/>
        <w:rPr>
          <w:color w:val="000000"/>
          <w:sz w:val="28"/>
          <w:szCs w:val="28"/>
        </w:rPr>
      </w:pPr>
      <w:r>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pPr>
        <w:pStyle w:val="ConsPlusNormal1"/>
        <w:ind w:firstLine="540"/>
        <w:jc w:val="both"/>
        <w:rPr>
          <w:rFonts w:ascii="Times New Roman" w:hAnsi="Times New Roman" w:eastAsia="Calibri" w:cs="Times New Roman" w:eastAsiaTheme="minorHAnsi"/>
          <w:sz w:val="28"/>
          <w:szCs w:val="28"/>
          <w:lang w:eastAsia="en-US"/>
        </w:rPr>
      </w:pPr>
      <w:r>
        <w:rPr>
          <w:rFonts w:cs="Times New Roman" w:ascii="Times New Roman" w:hAnsi="Times New Roman"/>
          <w:color w:val="000000"/>
          <w:sz w:val="28"/>
          <w:szCs w:val="28"/>
        </w:rPr>
        <w:t>Городской округ ЗАТО Свободный является закрытым административно-территориальным образованием, с о</w:t>
      </w:r>
      <w:r>
        <w:rPr>
          <w:rFonts w:eastAsia="Calibri" w:cs="Times New Roman" w:ascii="Times New Roman" w:hAnsi="Times New Roman" w:eastAsiaTheme="minorHAnsi"/>
          <w:sz w:val="28"/>
          <w:szCs w:val="28"/>
          <w:lang w:eastAsia="en-US"/>
        </w:rPr>
        <w:t>собым режимом безопасного функционирования организаций и (или) объектов, предусматривающий:</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установление контролируемых и (или) запретных зон по границе и (или) в пределах указанного образования;</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Земельный участок в границах городского округа находится в федеральной собственности.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Промышленных предприятий на территории городского округа нет.</w:t>
      </w:r>
    </w:p>
    <w:p>
      <w:pPr>
        <w:pStyle w:val="Normal"/>
        <w:ind w:firstLine="540"/>
        <w:jc w:val="both"/>
        <w:rPr>
          <w:sz w:val="28"/>
          <w:szCs w:val="28"/>
        </w:rPr>
      </w:pPr>
      <w:r>
        <w:rPr>
          <w:rFonts w:eastAsia="Calibri" w:eastAsiaTheme="minorHAnsi"/>
          <w:sz w:val="28"/>
          <w:szCs w:val="28"/>
          <w:lang w:eastAsia="en-US"/>
        </w:rPr>
        <w:t>О</w:t>
      </w:r>
      <w:r>
        <w:rPr>
          <w:sz w:val="28"/>
          <w:szCs w:val="28"/>
        </w:rPr>
        <w:t>сновную часть налоговых доходов в бюджете городского округа составляет налог на доходы физических лиц.</w:t>
      </w:r>
    </w:p>
    <w:p>
      <w:pPr>
        <w:pStyle w:val="Normal"/>
        <w:ind w:firstLine="539"/>
        <w:jc w:val="both"/>
        <w:rPr>
          <w:sz w:val="28"/>
          <w:szCs w:val="28"/>
        </w:rPr>
      </w:pPr>
      <w:r>
        <w:rPr>
          <w:sz w:val="28"/>
          <w:szCs w:val="28"/>
        </w:rPr>
        <w:t>Учитывая наличие ограниченных возможностей для развития городского округа, необходимо обеспечить развитие имеющихся внутренних резервов. Для городского округа такими резервами являются развитие малого и среднего предпринимательства и эффективное использование муниципального имущества.</w:t>
      </w:r>
    </w:p>
    <w:p>
      <w:pPr>
        <w:pStyle w:val="Normal"/>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эффективное управление территорией.</w:t>
      </w:r>
    </w:p>
    <w:p>
      <w:pPr>
        <w:pStyle w:val="Normal"/>
        <w:ind w:firstLine="539"/>
        <w:jc w:val="both"/>
        <w:rPr>
          <w:sz w:val="28"/>
          <w:szCs w:val="28"/>
        </w:rPr>
      </w:pPr>
      <w:r>
        <w:rPr>
          <w:sz w:val="28"/>
          <w:szCs w:val="28"/>
        </w:rPr>
        <w:t>Проблема совершенствования управления назрела давно и была озвучена Президентом Российской Федерации.</w:t>
      </w:r>
    </w:p>
    <w:p>
      <w:pPr>
        <w:pStyle w:val="Normal"/>
        <w:ind w:firstLine="539"/>
        <w:jc w:val="both"/>
        <w:rPr>
          <w:color w:val="000000"/>
          <w:sz w:val="28"/>
          <w:szCs w:val="28"/>
        </w:rPr>
      </w:pPr>
      <w:r>
        <w:rPr>
          <w:color w:val="000000"/>
          <w:sz w:val="28"/>
          <w:szCs w:val="28"/>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pPr>
        <w:pStyle w:val="Normal"/>
        <w:ind w:firstLine="539"/>
        <w:jc w:val="both"/>
        <w:rPr>
          <w:color w:val="000000"/>
          <w:sz w:val="28"/>
          <w:szCs w:val="28"/>
        </w:rPr>
      </w:pPr>
      <w:r>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pPr>
        <w:pStyle w:val="Normal"/>
        <w:ind w:firstLine="539"/>
        <w:jc w:val="both"/>
        <w:rPr>
          <w:color w:val="000000"/>
          <w:sz w:val="28"/>
          <w:szCs w:val="28"/>
        </w:rPr>
      </w:pPr>
      <w:r>
        <w:rPr>
          <w:color w:val="000000"/>
          <w:sz w:val="28"/>
          <w:szCs w:val="28"/>
        </w:rPr>
        <w:t>повышение уровня удовлетворенности граждан качеством предоставления муниципальных услуг;</w:t>
      </w:r>
    </w:p>
    <w:p>
      <w:pPr>
        <w:pStyle w:val="Normal"/>
        <w:ind w:firstLine="539"/>
        <w:jc w:val="both"/>
        <w:rPr>
          <w:color w:val="000000"/>
          <w:sz w:val="28"/>
          <w:szCs w:val="28"/>
        </w:rPr>
      </w:pPr>
      <w:r>
        <w:rPr>
          <w:color w:val="000000"/>
          <w:sz w:val="28"/>
          <w:szCs w:val="28"/>
        </w:rP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pPr>
        <w:pStyle w:val="Normal"/>
        <w:ind w:firstLine="539"/>
        <w:jc w:val="both"/>
        <w:rPr>
          <w:color w:val="000000"/>
          <w:sz w:val="28"/>
          <w:szCs w:val="28"/>
        </w:rPr>
      </w:pPr>
      <w:r>
        <w:rPr>
          <w:color w:val="000000"/>
          <w:sz w:val="28"/>
          <w:szCs w:val="28"/>
        </w:rPr>
        <w:t>Повышение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pPr>
        <w:pStyle w:val="Normal"/>
        <w:ind w:firstLine="539"/>
        <w:jc w:val="both"/>
        <w:rPr>
          <w:color w:val="000000"/>
          <w:sz w:val="28"/>
          <w:szCs w:val="28"/>
        </w:rPr>
      </w:pPr>
      <w:r>
        <w:rPr>
          <w:color w:val="000000"/>
          <w:sz w:val="28"/>
          <w:szCs w:val="28"/>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pPr>
        <w:pStyle w:val="Normal"/>
        <w:ind w:firstLine="539"/>
        <w:jc w:val="both"/>
        <w:rPr>
          <w:sz w:val="28"/>
          <w:szCs w:val="28"/>
        </w:rPr>
      </w:pPr>
      <w:r>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pPr>
        <w:pStyle w:val="Normal"/>
        <w:shd w:val="clear" w:color="auto" w:fill="FFFFFF"/>
        <w:ind w:firstLine="544"/>
        <w:jc w:val="both"/>
        <w:rPr>
          <w:color w:val="000000"/>
          <w:sz w:val="28"/>
          <w:szCs w:val="28"/>
        </w:rPr>
      </w:pPr>
      <w:r>
        <w:rPr>
          <w:color w:val="000000"/>
          <w:sz w:val="28"/>
          <w:szCs w:val="28"/>
        </w:rPr>
        <w:t>Кроме того любой вид управленческой деятельности невозможен без информационного потенциала управления и создающего условия для устойчивого развития муниципального сообщества.</w:t>
      </w:r>
    </w:p>
    <w:p>
      <w:pPr>
        <w:pStyle w:val="Normal"/>
        <w:shd w:val="clear" w:color="auto" w:fill="FFFFFF"/>
        <w:ind w:firstLine="544"/>
        <w:jc w:val="both"/>
        <w:rPr>
          <w:color w:val="000000"/>
          <w:sz w:val="28"/>
          <w:szCs w:val="28"/>
        </w:rPr>
      </w:pPr>
      <w:r>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pPr>
        <w:pStyle w:val="Normal"/>
        <w:widowControl w:val="false"/>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Pr>
          <w:sz w:val="28"/>
          <w:szCs w:val="28"/>
        </w:rPr>
        <w:t>Совершенствование социально-экономической политики и эффективности муниципального управления». Муниципальная программа включает четыре подпрограммы:</w:t>
      </w:r>
    </w:p>
    <w:p>
      <w:pPr>
        <w:pStyle w:val="Normal"/>
        <w:ind w:firstLine="567"/>
        <w:rPr>
          <w:sz w:val="28"/>
          <w:szCs w:val="28"/>
        </w:rPr>
      </w:pPr>
      <w:r>
        <w:rPr>
          <w:sz w:val="28"/>
          <w:szCs w:val="28"/>
        </w:rPr>
        <w:t>1. Развитие субъектов малого и среднего предпринимательства.</w:t>
      </w:r>
    </w:p>
    <w:p>
      <w:pPr>
        <w:pStyle w:val="Normal"/>
        <w:ind w:firstLine="567"/>
        <w:rPr>
          <w:sz w:val="28"/>
          <w:szCs w:val="28"/>
        </w:rPr>
      </w:pPr>
      <w:r>
        <w:rPr>
          <w:sz w:val="28"/>
          <w:szCs w:val="28"/>
        </w:rPr>
        <w:t>2. Управление муниципальной собственности.</w:t>
      </w:r>
    </w:p>
    <w:p>
      <w:pPr>
        <w:pStyle w:val="Normal"/>
        <w:ind w:firstLine="567"/>
        <w:rPr>
          <w:sz w:val="28"/>
          <w:szCs w:val="28"/>
        </w:rPr>
      </w:pPr>
      <w:r>
        <w:rPr>
          <w:sz w:val="28"/>
          <w:szCs w:val="28"/>
        </w:rPr>
        <w:t>3. Развитие информационного общества.</w:t>
      </w:r>
    </w:p>
    <w:p>
      <w:pPr>
        <w:pStyle w:val="Normal"/>
        <w:widowControl w:val="false"/>
        <w:ind w:firstLine="567"/>
        <w:rPr>
          <w:sz w:val="28"/>
          <w:szCs w:val="28"/>
        </w:rPr>
      </w:pPr>
      <w:r>
        <w:rPr>
          <w:sz w:val="28"/>
          <w:szCs w:val="28"/>
        </w:rPr>
        <w:t>4. Создание условий для обеспечения выполнения функций органами местного самоуправления.</w:t>
      </w:r>
    </w:p>
    <w:p>
      <w:pPr>
        <w:pStyle w:val="Normal"/>
        <w:spacing w:lineRule="auto" w:line="276" w:before="0" w:after="200"/>
        <w:rPr/>
      </w:pPr>
      <w:r>
        <w:rPr/>
      </w:r>
      <w:r>
        <w:br w:type="page"/>
      </w:r>
    </w:p>
    <w:p>
      <w:pPr>
        <w:pStyle w:val="Normal"/>
        <w:widowControl w:val="false"/>
        <w:jc w:val="center"/>
        <w:rPr>
          <w:b/>
          <w:b/>
          <w:sz w:val="28"/>
          <w:szCs w:val="28"/>
        </w:rPr>
      </w:pPr>
      <w:r>
        <w:rPr>
          <w:b/>
          <w:sz w:val="28"/>
          <w:szCs w:val="28"/>
        </w:rPr>
        <w:t>ПОДПРОГРАММА 1:«Развитие субъектов малого и среднего предпринимательства»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«Развитие субъектов малого и среднего предпринимательства»</w:t>
      </w:r>
    </w:p>
    <w:p>
      <w:pPr>
        <w:pStyle w:val="Normal"/>
        <w:widowControl w:val="false"/>
        <w:jc w:val="both"/>
        <w:rPr/>
      </w:pPr>
      <w:r>
        <w:rPr/>
      </w:r>
    </w:p>
    <w:tbl>
      <w:tblPr>
        <w:tblW w:w="9781" w:type="dxa"/>
        <w:jc w:val="left"/>
        <w:tblInd w:w="75" w:type="dxa"/>
        <w:tblCellMar>
          <w:top w:w="0" w:type="dxa"/>
          <w:left w:w="75" w:type="dxa"/>
          <w:bottom w:w="0" w:type="dxa"/>
          <w:right w:w="75" w:type="dxa"/>
        </w:tblCellMar>
        <w:tblLook w:firstRow="0" w:noVBand="0" w:lastRow="0" w:firstColumn="0" w:lastColumn="0" w:noHBand="0" w:val="0000"/>
      </w:tblPr>
      <w:tblGrid>
        <w:gridCol w:w="4110"/>
        <w:gridCol w:w="5670"/>
      </w:tblGrid>
      <w:tr>
        <w:trPr>
          <w:trHeight w:val="400" w:hRule="atLeast"/>
        </w:trPr>
        <w:tc>
          <w:tcPr>
            <w:tcW w:w="4110"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Ответственный исполнитель подпрограммы </w:t>
            </w:r>
          </w:p>
        </w:tc>
        <w:tc>
          <w:tcPr>
            <w:tcW w:w="5670"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Администрация городского округа ЗАТО Свободный</w:t>
            </w:r>
          </w:p>
        </w:tc>
      </w:tr>
      <w:tr>
        <w:trPr>
          <w:trHeight w:val="400" w:hRule="atLeast"/>
        </w:trPr>
        <w:tc>
          <w:tcPr>
            <w:tcW w:w="411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Сроки реализации подпрограммы </w:t>
            </w:r>
          </w:p>
        </w:tc>
        <w:tc>
          <w:tcPr>
            <w:tcW w:w="567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2016-2024 годы</w:t>
            </w:r>
          </w:p>
        </w:tc>
      </w:tr>
      <w:tr>
        <w:trPr>
          <w:trHeight w:val="400" w:hRule="atLeast"/>
        </w:trPr>
        <w:tc>
          <w:tcPr>
            <w:tcW w:w="411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Цели и задачи подпрограммы</w:t>
            </w:r>
          </w:p>
        </w:tc>
        <w:tc>
          <w:tcPr>
            <w:tcW w:w="5670"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Цель: Создание условий для развития малого и среднего предпринимательства.</w:t>
            </w:r>
          </w:p>
          <w:p>
            <w:pPr>
              <w:pStyle w:val="Normal"/>
              <w:widowControl w:val="false"/>
              <w:jc w:val="both"/>
              <w:rPr>
                <w:sz w:val="28"/>
                <w:szCs w:val="28"/>
              </w:rPr>
            </w:pPr>
            <w:r>
              <w:rPr>
                <w:sz w:val="28"/>
                <w:szCs w:val="28"/>
              </w:rPr>
              <w:t>Задачи:</w:t>
            </w:r>
          </w:p>
          <w:p>
            <w:pPr>
              <w:pStyle w:val="Normal"/>
              <w:widowControl w:val="false"/>
              <w:jc w:val="both"/>
              <w:rPr>
                <w:sz w:val="28"/>
                <w:szCs w:val="28"/>
              </w:rPr>
            </w:pPr>
            <w:r>
              <w:rPr>
                <w:sz w:val="28"/>
                <w:szCs w:val="28"/>
              </w:rPr>
              <w:t>1. Оказание поддержки субъектам малого и среднего предпринимательства.</w:t>
            </w:r>
          </w:p>
          <w:p>
            <w:pPr>
              <w:pStyle w:val="Normal"/>
              <w:widowControl w:val="false"/>
              <w:jc w:val="both"/>
              <w:rPr>
                <w:sz w:val="28"/>
                <w:szCs w:val="28"/>
              </w:rPr>
            </w:pPr>
            <w:r>
              <w:rPr>
                <w:sz w:val="28"/>
                <w:szCs w:val="28"/>
              </w:rPr>
              <w:t>2. Стимулирование развития, популяризация предпринимательской деятельности.</w:t>
            </w:r>
          </w:p>
        </w:tc>
      </w:tr>
      <w:tr>
        <w:trPr>
          <w:trHeight w:val="600" w:hRule="atLeast"/>
        </w:trPr>
        <w:tc>
          <w:tcPr>
            <w:tcW w:w="411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Перечень основных целевых</w:t>
            </w:r>
          </w:p>
          <w:p>
            <w:pPr>
              <w:pStyle w:val="Normal"/>
              <w:widowControl w:val="false"/>
              <w:rPr>
                <w:sz w:val="28"/>
                <w:szCs w:val="28"/>
              </w:rPr>
            </w:pPr>
            <w:r>
              <w:rPr>
                <w:sz w:val="28"/>
                <w:szCs w:val="28"/>
              </w:rPr>
              <w:t xml:space="preserve">показателей подпрограммы </w:t>
            </w:r>
          </w:p>
        </w:tc>
        <w:tc>
          <w:tcPr>
            <w:tcW w:w="5670" w:type="dxa"/>
            <w:tcBorders>
              <w:left w:val="single" w:sz="8" w:space="0" w:color="000000"/>
              <w:bottom w:val="single" w:sz="8" w:space="0" w:color="000000"/>
              <w:right w:val="single" w:sz="8" w:space="0" w:color="000000"/>
            </w:tcBorders>
          </w:tcPr>
          <w:p>
            <w:pPr>
              <w:pStyle w:val="Normal"/>
              <w:jc w:val="both"/>
              <w:rPr>
                <w:sz w:val="28"/>
                <w:szCs w:val="28"/>
              </w:rPr>
            </w:pPr>
            <w:r>
              <w:rPr>
                <w:sz w:val="28"/>
                <w:szCs w:val="28"/>
              </w:rPr>
              <w:t>1. Число субъектов малого и среднего предпринимательства в расчете на 10 тыс. человек населения.</w:t>
            </w:r>
          </w:p>
          <w:p>
            <w:pPr>
              <w:pStyle w:val="Normal"/>
              <w:jc w:val="both"/>
              <w:rPr>
                <w:sz w:val="28"/>
                <w:szCs w:val="28"/>
              </w:rPr>
            </w:pPr>
            <w:r>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pPr>
              <w:pStyle w:val="Normal"/>
              <w:jc w:val="both"/>
              <w:rPr>
                <w:sz w:val="28"/>
                <w:szCs w:val="28"/>
              </w:rPr>
            </w:pPr>
            <w:r>
              <w:rPr>
                <w:sz w:val="28"/>
                <w:szCs w:val="28"/>
              </w:rPr>
              <w:t>3. Число субъектов малого и среднего предпринимательства – участников массовых мероприятий.</w:t>
            </w:r>
          </w:p>
          <w:p>
            <w:pPr>
              <w:pStyle w:val="Normal"/>
              <w:jc w:val="both"/>
              <w:rPr>
                <w:sz w:val="28"/>
                <w:szCs w:val="28"/>
              </w:rPr>
            </w:pPr>
            <w:r>
              <w:rPr>
                <w:sz w:val="28"/>
                <w:szCs w:val="28"/>
              </w:rPr>
              <w:t>4. Число граждан – участников массовых мероприятий.</w:t>
            </w:r>
          </w:p>
        </w:tc>
      </w:tr>
      <w:tr>
        <w:trPr/>
        <w:tc>
          <w:tcPr>
            <w:tcW w:w="411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Объемы финансирования подпрограммы </w:t>
            </w:r>
          </w:p>
          <w:p>
            <w:pPr>
              <w:pStyle w:val="Normal"/>
              <w:widowControl w:val="false"/>
              <w:rPr>
                <w:sz w:val="28"/>
                <w:szCs w:val="28"/>
              </w:rPr>
            </w:pPr>
            <w:r>
              <w:rPr>
                <w:sz w:val="28"/>
                <w:szCs w:val="28"/>
              </w:rPr>
              <w:t xml:space="preserve">по годам реализации, </w:t>
            </w:r>
          </w:p>
          <w:p>
            <w:pPr>
              <w:pStyle w:val="Normal"/>
              <w:widowControl w:val="false"/>
              <w:rPr>
                <w:sz w:val="28"/>
                <w:szCs w:val="28"/>
              </w:rPr>
            </w:pPr>
            <w:r>
              <w:rPr>
                <w:sz w:val="28"/>
                <w:szCs w:val="28"/>
              </w:rPr>
              <w:t xml:space="preserve">тыс. рублей </w:t>
            </w:r>
          </w:p>
        </w:tc>
        <w:tc>
          <w:tcPr>
            <w:tcW w:w="5670"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ВСЕГО: 1190,9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150,0 тыс. руб.;</w:t>
            </w:r>
          </w:p>
          <w:p>
            <w:pPr>
              <w:pStyle w:val="Normal"/>
              <w:widowControl w:val="false"/>
              <w:rPr>
                <w:sz w:val="28"/>
                <w:szCs w:val="28"/>
              </w:rPr>
            </w:pPr>
            <w:r>
              <w:rPr>
                <w:sz w:val="28"/>
                <w:szCs w:val="28"/>
              </w:rPr>
              <w:t>2017 год – 272,3 тыс. руб.;</w:t>
            </w:r>
          </w:p>
          <w:p>
            <w:pPr>
              <w:pStyle w:val="Normal"/>
              <w:widowControl w:val="false"/>
              <w:rPr>
                <w:sz w:val="28"/>
                <w:szCs w:val="28"/>
              </w:rPr>
            </w:pPr>
            <w:r>
              <w:rPr>
                <w:sz w:val="28"/>
                <w:szCs w:val="28"/>
              </w:rPr>
              <w:t>2018 год – 90,0 тыс. руб.;</w:t>
            </w:r>
          </w:p>
          <w:p>
            <w:pPr>
              <w:pStyle w:val="Normal"/>
              <w:widowControl w:val="false"/>
              <w:rPr>
                <w:sz w:val="28"/>
                <w:szCs w:val="28"/>
              </w:rPr>
            </w:pPr>
            <w:r>
              <w:rPr>
                <w:sz w:val="28"/>
                <w:szCs w:val="28"/>
              </w:rPr>
              <w:t>2019 год – 178,6 тыс. руб.;</w:t>
            </w:r>
          </w:p>
          <w:p>
            <w:pPr>
              <w:pStyle w:val="Normal"/>
              <w:widowControl w:val="false"/>
              <w:rPr>
                <w:sz w:val="28"/>
                <w:szCs w:val="28"/>
              </w:rPr>
            </w:pPr>
            <w:bookmarkStart w:id="17" w:name="OLE_LINK16"/>
            <w:bookmarkStart w:id="18" w:name="OLE_LINK17"/>
            <w:r>
              <w:rPr>
                <w:sz w:val="28"/>
                <w:szCs w:val="28"/>
              </w:rPr>
              <w:t>2020 год – 100,0 тыс. руб.;</w:t>
            </w:r>
            <w:bookmarkEnd w:id="17"/>
            <w:bookmarkEnd w:id="18"/>
          </w:p>
          <w:p>
            <w:pPr>
              <w:pStyle w:val="Normal"/>
              <w:widowControl w:val="false"/>
              <w:rPr>
                <w:sz w:val="28"/>
                <w:szCs w:val="28"/>
              </w:rPr>
            </w:pPr>
            <w:r>
              <w:rPr>
                <w:sz w:val="28"/>
                <w:szCs w:val="28"/>
              </w:rPr>
              <w:t>2021 год – 100,0 тыс. руб.;</w:t>
            </w:r>
          </w:p>
          <w:p>
            <w:pPr>
              <w:pStyle w:val="Normal"/>
              <w:widowControl w:val="false"/>
              <w:rPr>
                <w:sz w:val="28"/>
                <w:szCs w:val="28"/>
              </w:rPr>
            </w:pPr>
            <w:r>
              <w:rPr>
                <w:sz w:val="28"/>
                <w:szCs w:val="28"/>
              </w:rPr>
              <w:t>2022 год – 100,0 тыс. руб.;</w:t>
            </w:r>
          </w:p>
          <w:p>
            <w:pPr>
              <w:pStyle w:val="Normal"/>
              <w:widowControl w:val="false"/>
              <w:rPr>
                <w:sz w:val="28"/>
                <w:szCs w:val="28"/>
              </w:rPr>
            </w:pPr>
            <w:r>
              <w:rPr>
                <w:sz w:val="28"/>
                <w:szCs w:val="28"/>
              </w:rPr>
              <w:t>2023 год – 100,0 тыс. руб.;</w:t>
            </w:r>
          </w:p>
          <w:p>
            <w:pPr>
              <w:pStyle w:val="Normal"/>
              <w:widowControl w:val="false"/>
              <w:rPr>
                <w:sz w:val="28"/>
                <w:szCs w:val="28"/>
              </w:rPr>
            </w:pPr>
            <w:r>
              <w:rPr>
                <w:sz w:val="28"/>
                <w:szCs w:val="28"/>
              </w:rPr>
              <w:t>2024 год – 100,0 тыс. руб.</w:t>
            </w:r>
            <w:bookmarkStart w:id="19" w:name="OLE_LINK18"/>
            <w:bookmarkStart w:id="20" w:name="OLE_LINK19"/>
            <w:bookmarkEnd w:id="19"/>
            <w:bookmarkEnd w:id="20"/>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из них: </w:t>
            </w:r>
          </w:p>
          <w:p>
            <w:pPr>
              <w:pStyle w:val="Normal"/>
              <w:widowControl w:val="false"/>
              <w:rPr>
                <w:sz w:val="28"/>
                <w:szCs w:val="28"/>
              </w:rPr>
            </w:pPr>
            <w:r>
              <w:rPr>
                <w:sz w:val="28"/>
                <w:szCs w:val="28"/>
              </w:rPr>
              <w:t>местный бюджет: 918,6 тыс. рублей;</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50,0 тыс. руб.;</w:t>
            </w:r>
          </w:p>
          <w:p>
            <w:pPr>
              <w:pStyle w:val="Normal"/>
              <w:widowControl w:val="false"/>
              <w:rPr>
                <w:sz w:val="28"/>
                <w:szCs w:val="28"/>
              </w:rPr>
            </w:pPr>
            <w:r>
              <w:rPr>
                <w:sz w:val="28"/>
                <w:szCs w:val="28"/>
              </w:rPr>
              <w:t>2017 год – 100,0 тыс. руб.;</w:t>
            </w:r>
          </w:p>
          <w:p>
            <w:pPr>
              <w:pStyle w:val="Normal"/>
              <w:widowControl w:val="false"/>
              <w:rPr>
                <w:sz w:val="28"/>
                <w:szCs w:val="28"/>
              </w:rPr>
            </w:pPr>
            <w:r>
              <w:rPr>
                <w:sz w:val="28"/>
                <w:szCs w:val="28"/>
              </w:rPr>
              <w:t>2018 год – 100,0 тыс. руб.;</w:t>
            </w:r>
          </w:p>
          <w:p>
            <w:pPr>
              <w:pStyle w:val="Normal"/>
              <w:widowControl w:val="false"/>
              <w:rPr>
                <w:sz w:val="28"/>
                <w:szCs w:val="28"/>
              </w:rPr>
            </w:pPr>
            <w:r>
              <w:rPr>
                <w:sz w:val="28"/>
                <w:szCs w:val="28"/>
              </w:rPr>
              <w:t>2019 год – 178,6 тыс. руб.;</w:t>
            </w:r>
          </w:p>
          <w:p>
            <w:pPr>
              <w:pStyle w:val="Normal"/>
              <w:widowControl w:val="false"/>
              <w:rPr>
                <w:sz w:val="28"/>
                <w:szCs w:val="28"/>
              </w:rPr>
            </w:pPr>
            <w:r>
              <w:rPr>
                <w:sz w:val="28"/>
                <w:szCs w:val="28"/>
              </w:rPr>
              <w:t>2020 год – 100,0 тыс. руб.;</w:t>
            </w:r>
          </w:p>
          <w:p>
            <w:pPr>
              <w:pStyle w:val="Normal"/>
              <w:widowControl w:val="false"/>
              <w:rPr>
                <w:sz w:val="28"/>
                <w:szCs w:val="28"/>
              </w:rPr>
            </w:pPr>
            <w:r>
              <w:rPr>
                <w:sz w:val="28"/>
                <w:szCs w:val="28"/>
              </w:rPr>
              <w:t>2021 год – 100,0 тыс. руб.;</w:t>
            </w:r>
          </w:p>
          <w:p>
            <w:pPr>
              <w:pStyle w:val="Normal"/>
              <w:widowControl w:val="false"/>
              <w:rPr>
                <w:sz w:val="28"/>
                <w:szCs w:val="28"/>
              </w:rPr>
            </w:pPr>
            <w:r>
              <w:rPr>
                <w:sz w:val="28"/>
                <w:szCs w:val="28"/>
              </w:rPr>
              <w:t>2022 год – 100,0 тыс. руб.;</w:t>
            </w:r>
          </w:p>
          <w:p>
            <w:pPr>
              <w:pStyle w:val="Normal"/>
              <w:widowControl w:val="false"/>
              <w:rPr>
                <w:sz w:val="28"/>
                <w:szCs w:val="28"/>
              </w:rPr>
            </w:pPr>
            <w:r>
              <w:rPr>
                <w:sz w:val="28"/>
                <w:szCs w:val="28"/>
              </w:rPr>
              <w:t>2023 год – 100,0 тыс. руб.;</w:t>
            </w:r>
          </w:p>
          <w:p>
            <w:pPr>
              <w:pStyle w:val="Normal"/>
              <w:widowControl w:val="false"/>
              <w:rPr>
                <w:sz w:val="28"/>
                <w:szCs w:val="28"/>
              </w:rPr>
            </w:pPr>
            <w:r>
              <w:rPr>
                <w:sz w:val="28"/>
                <w:szCs w:val="28"/>
              </w:rPr>
              <w:t>2024 год – 100,0 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272,3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100,0 тыс. руб.;</w:t>
            </w:r>
          </w:p>
          <w:p>
            <w:pPr>
              <w:pStyle w:val="Normal"/>
              <w:widowControl w:val="false"/>
              <w:rPr>
                <w:sz w:val="28"/>
                <w:szCs w:val="28"/>
              </w:rPr>
            </w:pPr>
            <w:r>
              <w:rPr>
                <w:sz w:val="28"/>
                <w:szCs w:val="28"/>
              </w:rPr>
              <w:t>2017 год –172,3 тыс.руб.;</w:t>
            </w:r>
          </w:p>
          <w:p>
            <w:pPr>
              <w:pStyle w:val="Normal"/>
              <w:widowControl w:val="false"/>
              <w:rPr>
                <w:sz w:val="28"/>
                <w:szCs w:val="28"/>
              </w:rPr>
            </w:pPr>
            <w:r>
              <w:rPr>
                <w:sz w:val="28"/>
                <w:szCs w:val="28"/>
              </w:rPr>
              <w:t>2018 год –0,0 тыс. руб.;</w:t>
            </w:r>
          </w:p>
          <w:p>
            <w:pPr>
              <w:pStyle w:val="Normal"/>
              <w:widowControl w:val="false"/>
              <w:rPr>
                <w:sz w:val="28"/>
                <w:szCs w:val="28"/>
              </w:rPr>
            </w:pPr>
            <w:r>
              <w:rPr>
                <w:sz w:val="28"/>
                <w:szCs w:val="28"/>
              </w:rPr>
              <w:t>2019 год –0,0 тыс. руб.;</w:t>
            </w:r>
          </w:p>
          <w:p>
            <w:pPr>
              <w:pStyle w:val="Normal"/>
              <w:widowControl w:val="false"/>
              <w:rPr>
                <w:sz w:val="28"/>
                <w:szCs w:val="28"/>
              </w:rPr>
            </w:pPr>
            <w:bookmarkStart w:id="21" w:name="OLE_LINK20"/>
            <w:bookmarkStart w:id="22" w:name="OLE_LINK21"/>
            <w:r>
              <w:rPr>
                <w:sz w:val="28"/>
                <w:szCs w:val="28"/>
              </w:rPr>
              <w:t>2020 год – 0,0 тыс. руб</w:t>
            </w:r>
            <w:bookmarkEnd w:id="21"/>
            <w:bookmarkEnd w:id="22"/>
            <w:r>
              <w:rPr>
                <w:sz w:val="28"/>
                <w:szCs w:val="28"/>
              </w:rPr>
              <w:t>.;</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федеральный бюджет: 0,0 тыс. руб.;</w:t>
            </w:r>
          </w:p>
          <w:p>
            <w:pPr>
              <w:pStyle w:val="Normal"/>
              <w:widowControl w:val="false"/>
              <w:rPr>
                <w:sz w:val="28"/>
                <w:szCs w:val="28"/>
              </w:rPr>
            </w:pPr>
            <w:r>
              <w:rPr>
                <w:sz w:val="28"/>
                <w:szCs w:val="28"/>
              </w:rPr>
              <w:t>в том числе:</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bookmarkStart w:id="23" w:name="OLE_LINK22"/>
            <w:bookmarkStart w:id="24" w:name="OLE_LINK23"/>
            <w:bookmarkEnd w:id="23"/>
            <w:bookmarkEnd w:id="24"/>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25" w:name="OLE_LINK24"/>
            <w:bookmarkStart w:id="26" w:name="OLE_LINK25"/>
            <w:bookmarkEnd w:id="25"/>
            <w:bookmarkEnd w:id="26"/>
          </w:p>
          <w:p>
            <w:pPr>
              <w:pStyle w:val="Normal"/>
              <w:widowControl w:val="false"/>
              <w:rPr>
                <w:sz w:val="28"/>
                <w:szCs w:val="28"/>
              </w:rPr>
            </w:pPr>
            <w:r>
              <w:rPr>
                <w:sz w:val="28"/>
                <w:szCs w:val="28"/>
              </w:rPr>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внебюджетные источники: 0,0 тыс. руб.;</w:t>
            </w:r>
          </w:p>
          <w:p>
            <w:pPr>
              <w:pStyle w:val="Normal"/>
              <w:widowControl w:val="false"/>
              <w:rPr>
                <w:sz w:val="28"/>
                <w:szCs w:val="28"/>
              </w:rPr>
            </w:pPr>
            <w:r>
              <w:rPr>
                <w:sz w:val="28"/>
                <w:szCs w:val="28"/>
              </w:rPr>
              <w:t>в том числе:</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Характеристика и анализ текущего состояния сферы малого и среднего предпринимательства</w:t>
      </w:r>
    </w:p>
    <w:p>
      <w:pPr>
        <w:pStyle w:val="Normal"/>
        <w:ind w:firstLine="567"/>
        <w:jc w:val="center"/>
        <w:rPr>
          <w:b/>
          <w:b/>
          <w:sz w:val="28"/>
          <w:szCs w:val="28"/>
        </w:rPr>
      </w:pPr>
      <w:r>
        <w:rPr>
          <w:b/>
          <w:sz w:val="28"/>
          <w:szCs w:val="28"/>
        </w:rPr>
      </w:r>
    </w:p>
    <w:p>
      <w:pPr>
        <w:pStyle w:val="Normal"/>
        <w:ind w:firstLine="567"/>
        <w:jc w:val="both"/>
        <w:rPr>
          <w:sz w:val="28"/>
          <w:szCs w:val="28"/>
        </w:rPr>
      </w:pPr>
      <w:r>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pPr>
        <w:pStyle w:val="Normal"/>
        <w:ind w:firstLine="567"/>
        <w:jc w:val="both"/>
        <w:rPr>
          <w:sz w:val="28"/>
          <w:szCs w:val="28"/>
        </w:rPr>
      </w:pPr>
      <w:r>
        <w:rPr>
          <w:sz w:val="28"/>
          <w:szCs w:val="28"/>
        </w:rPr>
        <w:t>Малое предпринимательство городского округа ЗАТО Свободный представлено в основном в сфере потребительского рынка. Такие отрасли как торговля, транспорт, общественное питание полностью состоят из частных предприятий.</w:t>
      </w:r>
    </w:p>
    <w:p>
      <w:pPr>
        <w:pStyle w:val="Normal"/>
        <w:ind w:firstLine="567"/>
        <w:jc w:val="both"/>
        <w:rPr>
          <w:sz w:val="28"/>
          <w:szCs w:val="28"/>
        </w:rPr>
      </w:pPr>
      <w:r>
        <w:rPr>
          <w:sz w:val="28"/>
          <w:szCs w:val="28"/>
        </w:rPr>
        <w:t>В последние годы на территории городского округа ЗАТО Свободный появилась тенденция к сокращению числа субъектов малого предпринимательства.</w:t>
      </w:r>
    </w:p>
    <w:p>
      <w:pPr>
        <w:pStyle w:val="Normal"/>
        <w:ind w:firstLine="567"/>
        <w:jc w:val="both"/>
        <w:rPr>
          <w:sz w:val="28"/>
          <w:szCs w:val="28"/>
        </w:rPr>
      </w:pPr>
      <w:r>
        <w:rPr>
          <w:sz w:val="28"/>
          <w:szCs w:val="28"/>
        </w:rPr>
        <w:t>По состоянию на 01.01.2013 в территориальном разделе городского округа ЗАТО Свободный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pPr>
        <w:pStyle w:val="Normal"/>
        <w:ind w:firstLine="720"/>
        <w:jc w:val="both"/>
        <w:rPr>
          <w:sz w:val="28"/>
          <w:szCs w:val="28"/>
        </w:rPr>
      </w:pPr>
      <w:r>
        <w:rPr/>
        <w:drawing>
          <wp:inline distT="0" distB="0" distL="0" distR="0">
            <wp:extent cx="5591175" cy="37147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ind w:firstLine="567"/>
        <w:jc w:val="both"/>
        <w:rPr>
          <w:sz w:val="28"/>
          <w:szCs w:val="28"/>
        </w:rPr>
      </w:pPr>
      <w:r>
        <w:rPr>
          <w:sz w:val="28"/>
          <w:szCs w:val="28"/>
        </w:rPr>
        <w:t>В связи с тем, что малое предпринимательство имеет высокое социальное значение (обеспечение населения необходимыми товарами и услугами, дополнительные рабочие места), для положительной динамики и устойчивого развития малого предпринимательства городского округанеобходимо реализовывать мероприятия с целью сохранения и увеличения субъектов малого и среднего предпринимательства.</w:t>
      </w:r>
    </w:p>
    <w:p>
      <w:pPr>
        <w:pStyle w:val="Normal"/>
        <w:ind w:firstLine="567"/>
        <w:jc w:val="both"/>
        <w:rPr>
          <w:sz w:val="28"/>
          <w:szCs w:val="28"/>
        </w:rPr>
      </w:pPr>
      <w:r>
        <w:rPr>
          <w:sz w:val="28"/>
          <w:szCs w:val="28"/>
        </w:rPr>
        <w:t>К таким мероприятиям относятся:</w:t>
      </w:r>
    </w:p>
    <w:p>
      <w:pPr>
        <w:pStyle w:val="Normal"/>
        <w:ind w:firstLine="567"/>
        <w:jc w:val="both"/>
        <w:rPr>
          <w:sz w:val="28"/>
          <w:szCs w:val="28"/>
        </w:rPr>
      </w:pPr>
      <w:r>
        <w:rPr>
          <w:sz w:val="28"/>
          <w:szCs w:val="28"/>
        </w:rPr>
        <w:t>- Организация деятельности Координационного совета по инвестициям и развитию предпринимательства. С 2009 года на территории городского округа ЗАТО Свободный 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городском округе ЗАТО Свободный. В 2015 году совет был переименован в Координационный совет по инвестициям и развитию предпринимательства городского округа ЗАТО Свободный. Состав совета не претерпел существенных изменений.</w:t>
      </w:r>
    </w:p>
    <w:p>
      <w:pPr>
        <w:pStyle w:val="Normal"/>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pPr>
        <w:pStyle w:val="Normal"/>
        <w:ind w:firstLine="567"/>
        <w:jc w:val="both"/>
        <w:rPr>
          <w:sz w:val="28"/>
          <w:szCs w:val="28"/>
        </w:rPr>
      </w:pPr>
      <w:r>
        <w:rPr>
          <w:sz w:val="28"/>
          <w:szCs w:val="28"/>
        </w:rPr>
        <w:t>- Оказания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 имущества на возмездной основе, а также включает в себя ведение перечня недвижимого имущества (за исключением земельных участков) городского округа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p>
    <w:p>
      <w:pPr>
        <w:pStyle w:val="Normal"/>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деятельности, стимулирование развития.</w:t>
      </w:r>
    </w:p>
    <w:p>
      <w:pPr>
        <w:pStyle w:val="Normal"/>
        <w:ind w:firstLine="567"/>
        <w:jc w:val="both"/>
        <w:rPr>
          <w:sz w:val="28"/>
          <w:szCs w:val="28"/>
        </w:rPr>
      </w:pPr>
      <w:r>
        <w:rPr>
          <w:sz w:val="28"/>
          <w:szCs w:val="28"/>
        </w:rPr>
        <w:t>Мероприятия, направленные на стимулирование развития и популяризацию предпринимательства:</w:t>
      </w:r>
    </w:p>
    <w:p>
      <w:pPr>
        <w:pStyle w:val="Normal"/>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pPr>
        <w:pStyle w:val="Normal"/>
        <w:ind w:firstLine="567"/>
        <w:jc w:val="both"/>
        <w:rPr>
          <w:sz w:val="28"/>
          <w:szCs w:val="28"/>
        </w:rPr>
      </w:pPr>
      <w:r>
        <w:rPr>
          <w:sz w:val="28"/>
          <w:szCs w:val="28"/>
        </w:rPr>
        <w:t>- проведение муниципального конкурса «Лучшее оформление организации к Новому году».</w:t>
      </w:r>
    </w:p>
    <w:p>
      <w:pPr>
        <w:pStyle w:val="Normal"/>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pPr>
        <w:pStyle w:val="Normal"/>
        <w:ind w:firstLine="567"/>
        <w:jc w:val="both"/>
        <w:rPr>
          <w:sz w:val="28"/>
          <w:szCs w:val="28"/>
        </w:rPr>
      </w:pPr>
      <w:r>
        <w:rPr>
          <w:sz w:val="28"/>
          <w:szCs w:val="28"/>
        </w:rPr>
        <w:t>- организация и проведение ярмарок.</w:t>
      </w:r>
    </w:p>
    <w:p>
      <w:pPr>
        <w:pStyle w:val="Normal"/>
        <w:ind w:firstLine="567"/>
        <w:jc w:val="both"/>
        <w:rPr>
          <w:sz w:val="28"/>
          <w:szCs w:val="28"/>
        </w:rPr>
      </w:pPr>
      <w:r>
        <w:rPr>
          <w:sz w:val="28"/>
          <w:szCs w:val="28"/>
        </w:rPr>
        <w:t>Реализация мероприятий, предусмотренных подпрограммой «Развитие субъектов малого и среднего предпринимательства» позволит 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pPr>
        <w:pStyle w:val="Normal"/>
        <w:ind w:firstLine="567"/>
        <w:jc w:val="both"/>
        <w:rPr>
          <w:sz w:val="28"/>
          <w:szCs w:val="28"/>
        </w:rPr>
      </w:pPr>
      <w:r>
        <w:rPr>
          <w:sz w:val="28"/>
          <w:szCs w:val="28"/>
        </w:rPr>
        <w:t>На реализацию подпрограммы предусмотрено привлечение средств областного и местного бюджетов.</w:t>
      </w:r>
    </w:p>
    <w:p>
      <w:pPr>
        <w:pStyle w:val="Normal"/>
        <w:widowControl w:val="false"/>
        <w:jc w:val="both"/>
        <w:rPr/>
      </w:pPr>
      <w:r>
        <w:rPr/>
      </w:r>
    </w:p>
    <w:p>
      <w:pPr>
        <w:pStyle w:val="Normal"/>
        <w:widowControl w:val="false"/>
        <w:jc w:val="center"/>
        <w:rPr>
          <w:b/>
          <w:b/>
          <w:sz w:val="28"/>
          <w:szCs w:val="28"/>
        </w:rPr>
      </w:pPr>
      <w:bookmarkStart w:id="27" w:name="Par279"/>
      <w:bookmarkEnd w:id="27"/>
      <w:r>
        <w:rPr>
          <w:b/>
          <w:sz w:val="28"/>
          <w:szCs w:val="28"/>
        </w:rPr>
        <w:t>ПОДПРОГРАММА 2: «Управление муниципальной собственностью»</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«Управление муниципальной собственностью»</w:t>
      </w:r>
    </w:p>
    <w:p>
      <w:pPr>
        <w:pStyle w:val="Normal"/>
        <w:widowControl w:val="false"/>
        <w:numPr>
          <w:ilvl w:val="0"/>
          <w:numId w:val="0"/>
        </w:numPr>
        <w:ind w:left="0" w:hanging="0"/>
        <w:jc w:val="right"/>
        <w:outlineLvl w:val="1"/>
        <w:rPr/>
      </w:pPr>
      <w:r>
        <w:rPr/>
      </w:r>
    </w:p>
    <w:tbl>
      <w:tblPr>
        <w:tblW w:w="9214" w:type="dxa"/>
        <w:jc w:val="left"/>
        <w:tblInd w:w="359" w:type="dxa"/>
        <w:tblCellMar>
          <w:top w:w="0" w:type="dxa"/>
          <w:left w:w="75" w:type="dxa"/>
          <w:bottom w:w="0" w:type="dxa"/>
          <w:right w:w="75" w:type="dxa"/>
        </w:tblCellMar>
        <w:tblLook w:firstRow="1" w:noVBand="1" w:lastRow="0" w:firstColumn="1" w:lastColumn="0" w:noHBand="0" w:val="04a0"/>
      </w:tblPr>
      <w:tblGrid>
        <w:gridCol w:w="4111"/>
        <w:gridCol w:w="5102"/>
      </w:tblGrid>
      <w:tr>
        <w:trPr>
          <w:trHeight w:val="400" w:hRule="atLeast"/>
        </w:trPr>
        <w:tc>
          <w:tcPr>
            <w:tcW w:w="4111"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Ответственный исполнитель подпрограммы </w:t>
            </w:r>
          </w:p>
        </w:tc>
        <w:tc>
          <w:tcPr>
            <w:tcW w:w="510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Администрация городского округа ЗАТО Свободный (отдел городского хозяйства и экономики)</w:t>
            </w:r>
          </w:p>
        </w:tc>
      </w:tr>
      <w:tr>
        <w:trPr>
          <w:trHeight w:val="400" w:hRule="atLeast"/>
        </w:trPr>
        <w:tc>
          <w:tcPr>
            <w:tcW w:w="41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Сроки реализации  </w:t>
            </w:r>
          </w:p>
          <w:p>
            <w:pPr>
              <w:pStyle w:val="Normal"/>
              <w:widowControl w:val="false"/>
              <w:rPr>
                <w:sz w:val="28"/>
                <w:szCs w:val="28"/>
              </w:rPr>
            </w:pPr>
            <w:r>
              <w:rPr>
                <w:sz w:val="28"/>
                <w:szCs w:val="28"/>
              </w:rPr>
              <w:t xml:space="preserve">подпрограммы </w:t>
            </w:r>
          </w:p>
        </w:tc>
        <w:tc>
          <w:tcPr>
            <w:tcW w:w="5102"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2016-2024 годы</w:t>
            </w:r>
          </w:p>
        </w:tc>
      </w:tr>
      <w:tr>
        <w:trPr>
          <w:trHeight w:val="400" w:hRule="atLeast"/>
        </w:trPr>
        <w:tc>
          <w:tcPr>
            <w:tcW w:w="41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Цели и задачи подпрограммы </w:t>
            </w:r>
          </w:p>
        </w:tc>
        <w:tc>
          <w:tcPr>
            <w:tcW w:w="5102"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Цель: Повышение эффективности управления муниципальным имуществом.</w:t>
            </w:r>
          </w:p>
          <w:p>
            <w:pPr>
              <w:pStyle w:val="Normal"/>
              <w:widowControl w:val="false"/>
              <w:jc w:val="both"/>
              <w:rPr>
                <w:sz w:val="28"/>
                <w:szCs w:val="28"/>
              </w:rPr>
            </w:pPr>
            <w:r>
              <w:rPr>
                <w:sz w:val="28"/>
                <w:szCs w:val="28"/>
              </w:rPr>
              <w:t>Задачи:</w:t>
            </w:r>
          </w:p>
          <w:p>
            <w:pPr>
              <w:pStyle w:val="Normal"/>
              <w:widowControl w:val="false"/>
              <w:jc w:val="both"/>
              <w:rPr>
                <w:sz w:val="28"/>
                <w:szCs w:val="28"/>
              </w:rPr>
            </w:pPr>
            <w:r>
              <w:rPr>
                <w:sz w:val="28"/>
                <w:szCs w:val="28"/>
              </w:rPr>
              <w:t>1. Создание условий для исполнения полномочий органами местного самоуправления;</w:t>
            </w:r>
          </w:p>
          <w:p>
            <w:pPr>
              <w:pStyle w:val="Normal"/>
              <w:widowControl w:val="false"/>
              <w:jc w:val="both"/>
              <w:rPr>
                <w:sz w:val="28"/>
                <w:szCs w:val="28"/>
              </w:rPr>
            </w:pPr>
            <w:r>
              <w:rPr>
                <w:sz w:val="28"/>
                <w:szCs w:val="28"/>
              </w:rPr>
              <w:t xml:space="preserve">2. Повышение доходности от использования и реализации муниципального имущества </w:t>
            </w:r>
          </w:p>
          <w:p>
            <w:pPr>
              <w:pStyle w:val="Normal"/>
              <w:widowControl w:val="false"/>
              <w:jc w:val="both"/>
              <w:rPr>
                <w:sz w:val="28"/>
                <w:szCs w:val="28"/>
              </w:rPr>
            </w:pPr>
            <w:r>
              <w:rPr>
                <w:sz w:val="28"/>
                <w:szCs w:val="28"/>
              </w:rPr>
              <w:t>3. Обеспечения содержания и сохранности объектов муниципальной собственности.</w:t>
            </w:r>
          </w:p>
          <w:p>
            <w:pPr>
              <w:pStyle w:val="Normal"/>
              <w:widowControl w:val="false"/>
              <w:jc w:val="both"/>
              <w:rPr>
                <w:sz w:val="28"/>
                <w:szCs w:val="28"/>
              </w:rPr>
            </w:pPr>
            <w:r>
              <w:rPr>
                <w:sz w:val="28"/>
                <w:szCs w:val="28"/>
              </w:rPr>
              <w:t>4. Увеличение количества объектов муниципальной недвижимости, прошедших государственную регистрацию прав.</w:t>
            </w:r>
          </w:p>
        </w:tc>
      </w:tr>
      <w:tr>
        <w:trPr>
          <w:trHeight w:val="1398" w:hRule="atLeast"/>
        </w:trPr>
        <w:tc>
          <w:tcPr>
            <w:tcW w:w="41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Перечень целевых показателей подпрограммы</w:t>
            </w:r>
          </w:p>
        </w:tc>
        <w:tc>
          <w:tcPr>
            <w:tcW w:w="5102" w:type="dxa"/>
            <w:tcBorders>
              <w:left w:val="single" w:sz="8" w:space="0" w:color="000000"/>
              <w:bottom w:val="single" w:sz="8" w:space="0" w:color="000000"/>
              <w:right w:val="single" w:sz="8" w:space="0" w:color="000000"/>
            </w:tcBorders>
          </w:tcPr>
          <w:p>
            <w:pPr>
              <w:pStyle w:val="Normal"/>
              <w:jc w:val="both"/>
              <w:rPr>
                <w:sz w:val="28"/>
                <w:szCs w:val="28"/>
              </w:rPr>
            </w:pPr>
            <w:r>
              <w:rPr>
                <w:sz w:val="28"/>
                <w:szCs w:val="28"/>
              </w:rPr>
              <w:t>1 Количество земельных участков, по которым проведены работы по установлению координат земельных участков.</w:t>
            </w:r>
          </w:p>
          <w:p>
            <w:pPr>
              <w:pStyle w:val="Normal"/>
              <w:jc w:val="both"/>
              <w:rPr>
                <w:sz w:val="28"/>
                <w:szCs w:val="28"/>
              </w:rPr>
            </w:pPr>
            <w:r>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pPr>
              <w:pStyle w:val="Normal"/>
              <w:jc w:val="both"/>
              <w:rPr>
                <w:sz w:val="28"/>
                <w:szCs w:val="28"/>
              </w:rPr>
            </w:pPr>
            <w:r>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pPr>
              <w:pStyle w:val="Normal"/>
              <w:jc w:val="both"/>
              <w:rPr>
                <w:sz w:val="28"/>
                <w:szCs w:val="28"/>
              </w:rPr>
            </w:pPr>
            <w:r>
              <w:rPr>
                <w:sz w:val="28"/>
                <w:szCs w:val="28"/>
              </w:rPr>
              <w:t>4. Количество объектов недвижимого имущества, находящегося в муниципальной собственности подлежащих государственной регистрации.</w:t>
            </w:r>
          </w:p>
          <w:p>
            <w:pPr>
              <w:pStyle w:val="Normal"/>
              <w:jc w:val="both"/>
              <w:rPr>
                <w:sz w:val="28"/>
                <w:szCs w:val="28"/>
              </w:rPr>
            </w:pPr>
            <w:r>
              <w:rPr>
                <w:sz w:val="28"/>
                <w:szCs w:val="28"/>
              </w:rPr>
              <w:t>5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r>
      <w:tr>
        <w:trPr>
          <w:trHeight w:val="1258" w:hRule="atLeast"/>
        </w:trPr>
        <w:tc>
          <w:tcPr>
            <w:tcW w:w="4111"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Объемы финансирования подпрограммы </w:t>
            </w:r>
          </w:p>
          <w:p>
            <w:pPr>
              <w:pStyle w:val="Normal"/>
              <w:widowControl w:val="false"/>
              <w:rPr>
                <w:sz w:val="28"/>
                <w:szCs w:val="28"/>
              </w:rPr>
            </w:pPr>
            <w:r>
              <w:rPr>
                <w:sz w:val="28"/>
                <w:szCs w:val="28"/>
              </w:rPr>
              <w:t xml:space="preserve">по годам реализации, </w:t>
            </w:r>
          </w:p>
          <w:p>
            <w:pPr>
              <w:pStyle w:val="Normal"/>
              <w:widowControl w:val="false"/>
              <w:rPr>
                <w:sz w:val="28"/>
                <w:szCs w:val="28"/>
              </w:rPr>
            </w:pPr>
            <w:r>
              <w:rPr>
                <w:sz w:val="28"/>
                <w:szCs w:val="28"/>
              </w:rPr>
              <w:t xml:space="preserve">тыс. рублей </w:t>
            </w:r>
          </w:p>
        </w:tc>
        <w:tc>
          <w:tcPr>
            <w:tcW w:w="5102"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ВСЕГО: </w:t>
            </w:r>
            <w:r>
              <w:rPr>
                <w:rFonts w:eastAsia="Times New Roman" w:cs="Times New Roman"/>
                <w:color w:val="auto"/>
                <w:kern w:val="0"/>
                <w:sz w:val="28"/>
                <w:szCs w:val="28"/>
                <w:lang w:val="ru-RU" w:eastAsia="ru-RU" w:bidi="ar-SA"/>
              </w:rPr>
              <w:t>15216,5</w:t>
            </w:r>
            <w:bookmarkStart w:id="28" w:name="OLE_LINK28"/>
            <w:bookmarkStart w:id="29" w:name="OLE_LINK29"/>
            <w:r>
              <w:rPr>
                <w:sz w:val="28"/>
                <w:szCs w:val="28"/>
              </w:rPr>
              <w:t xml:space="preserve"> </w:t>
            </w:r>
            <w:bookmarkEnd w:id="28"/>
            <w:bookmarkEnd w:id="29"/>
            <w:r>
              <w:rPr>
                <w:sz w:val="28"/>
                <w:szCs w:val="28"/>
              </w:rPr>
              <w:t xml:space="preserve">тыс. руб., </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1562,2тыс. руб.;</w:t>
            </w:r>
          </w:p>
          <w:p>
            <w:pPr>
              <w:pStyle w:val="Normal"/>
              <w:widowControl w:val="false"/>
              <w:rPr>
                <w:sz w:val="28"/>
                <w:szCs w:val="28"/>
              </w:rPr>
            </w:pPr>
            <w:r>
              <w:rPr>
                <w:sz w:val="28"/>
                <w:szCs w:val="28"/>
              </w:rPr>
              <w:t>2017 год – 1414,2 тыс. руб.;</w:t>
            </w:r>
          </w:p>
          <w:p>
            <w:pPr>
              <w:pStyle w:val="Normal"/>
              <w:widowControl w:val="false"/>
              <w:rPr>
                <w:sz w:val="28"/>
                <w:szCs w:val="28"/>
              </w:rPr>
            </w:pPr>
            <w:r>
              <w:rPr>
                <w:sz w:val="28"/>
                <w:szCs w:val="28"/>
              </w:rPr>
              <w:t>2018 год – 1184,5 тыс. руб.;</w:t>
            </w:r>
          </w:p>
          <w:p>
            <w:pPr>
              <w:pStyle w:val="Normal"/>
              <w:widowControl w:val="false"/>
              <w:rPr>
                <w:sz w:val="28"/>
                <w:szCs w:val="28"/>
              </w:rPr>
            </w:pPr>
            <w:r>
              <w:rPr>
                <w:sz w:val="28"/>
                <w:szCs w:val="28"/>
              </w:rPr>
              <w:t>2019 год – 1847,7 тыс. руб.;</w:t>
            </w:r>
          </w:p>
          <w:p>
            <w:pPr>
              <w:pStyle w:val="Normal"/>
              <w:widowControl w:val="false"/>
              <w:rPr>
                <w:sz w:val="28"/>
                <w:szCs w:val="28"/>
              </w:rPr>
            </w:pPr>
            <w:r>
              <w:rPr>
                <w:sz w:val="28"/>
                <w:szCs w:val="28"/>
              </w:rPr>
              <w:t xml:space="preserve">2020 год – </w:t>
            </w:r>
            <w:r>
              <w:rPr>
                <w:rFonts w:eastAsia="Times New Roman" w:cs="Times New Roman"/>
                <w:color w:val="auto"/>
                <w:kern w:val="0"/>
                <w:sz w:val="28"/>
                <w:szCs w:val="28"/>
                <w:lang w:val="ru-RU" w:eastAsia="ru-RU" w:bidi="ar-SA"/>
              </w:rPr>
              <w:t>3887,0</w:t>
            </w:r>
            <w:r>
              <w:rPr>
                <w:sz w:val="28"/>
                <w:szCs w:val="28"/>
              </w:rPr>
              <w:t xml:space="preserve"> тыс. руб.;</w:t>
            </w:r>
          </w:p>
          <w:p>
            <w:pPr>
              <w:pStyle w:val="Normal"/>
              <w:widowControl w:val="false"/>
              <w:rPr>
                <w:sz w:val="28"/>
                <w:szCs w:val="28"/>
              </w:rPr>
            </w:pPr>
            <w:r>
              <w:rPr>
                <w:sz w:val="28"/>
                <w:szCs w:val="28"/>
              </w:rPr>
              <w:t>2021 год – 1292,6 тыс. руб.;</w:t>
            </w:r>
          </w:p>
          <w:p>
            <w:pPr>
              <w:pStyle w:val="Normal"/>
              <w:widowControl w:val="false"/>
              <w:rPr>
                <w:sz w:val="28"/>
                <w:szCs w:val="28"/>
              </w:rPr>
            </w:pPr>
            <w:r>
              <w:rPr>
                <w:sz w:val="28"/>
                <w:szCs w:val="28"/>
              </w:rPr>
              <w:t>2022 год – 1342,8 тыс. руб.;</w:t>
            </w:r>
          </w:p>
          <w:p>
            <w:pPr>
              <w:pStyle w:val="Normal"/>
              <w:widowControl w:val="false"/>
              <w:rPr>
                <w:sz w:val="28"/>
                <w:szCs w:val="28"/>
              </w:rPr>
            </w:pPr>
            <w:r>
              <w:rPr>
                <w:sz w:val="28"/>
                <w:szCs w:val="28"/>
              </w:rPr>
              <w:t>2023 год – 1342,8 тыс. руб.;</w:t>
            </w:r>
          </w:p>
          <w:p>
            <w:pPr>
              <w:pStyle w:val="Normal"/>
              <w:widowControl w:val="false"/>
              <w:rPr>
                <w:sz w:val="28"/>
                <w:szCs w:val="28"/>
              </w:rPr>
            </w:pPr>
            <w:r>
              <w:rPr>
                <w:sz w:val="28"/>
                <w:szCs w:val="28"/>
              </w:rPr>
              <w:t>2024 год – 1342,8 тыс. руб.</w:t>
            </w:r>
            <w:bookmarkStart w:id="30" w:name="OLE_LINK30"/>
            <w:bookmarkStart w:id="31" w:name="OLE_LINK31"/>
            <w:bookmarkStart w:id="32" w:name="OLE_LINK26"/>
            <w:bookmarkStart w:id="33" w:name="OLE_LINK27"/>
            <w:bookmarkEnd w:id="30"/>
            <w:bookmarkEnd w:id="31"/>
            <w:bookmarkEnd w:id="32"/>
            <w:bookmarkEnd w:id="33"/>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местный бюджет: </w:t>
            </w:r>
            <w:r>
              <w:rPr>
                <w:rFonts w:eastAsia="Times New Roman" w:cs="Times New Roman"/>
                <w:color w:val="auto"/>
                <w:kern w:val="0"/>
                <w:sz w:val="28"/>
                <w:szCs w:val="28"/>
                <w:lang w:val="ru-RU" w:eastAsia="ru-RU" w:bidi="ar-SA"/>
              </w:rPr>
              <w:t>15216,5</w:t>
            </w:r>
            <w:r>
              <w:rPr>
                <w:sz w:val="28"/>
                <w:szCs w:val="28"/>
              </w:rPr>
              <w:t xml:space="preserve">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1562,2тыс. руб.;</w:t>
            </w:r>
          </w:p>
          <w:p>
            <w:pPr>
              <w:pStyle w:val="Normal"/>
              <w:widowControl w:val="false"/>
              <w:rPr>
                <w:sz w:val="28"/>
                <w:szCs w:val="28"/>
              </w:rPr>
            </w:pPr>
            <w:r>
              <w:rPr>
                <w:sz w:val="28"/>
                <w:szCs w:val="28"/>
              </w:rPr>
              <w:t>2017 год – 1414,2 тыс. руб.;</w:t>
            </w:r>
          </w:p>
          <w:p>
            <w:pPr>
              <w:pStyle w:val="Normal"/>
              <w:widowControl w:val="false"/>
              <w:rPr>
                <w:sz w:val="28"/>
                <w:szCs w:val="28"/>
              </w:rPr>
            </w:pPr>
            <w:r>
              <w:rPr>
                <w:sz w:val="28"/>
                <w:szCs w:val="28"/>
              </w:rPr>
              <w:t>2018 год – 1184,5 тыс. руб.;</w:t>
            </w:r>
          </w:p>
          <w:p>
            <w:pPr>
              <w:pStyle w:val="Normal"/>
              <w:widowControl w:val="false"/>
              <w:rPr>
                <w:sz w:val="28"/>
                <w:szCs w:val="28"/>
              </w:rPr>
            </w:pPr>
            <w:r>
              <w:rPr>
                <w:sz w:val="28"/>
                <w:szCs w:val="28"/>
              </w:rPr>
              <w:t>2019 год – 1847,7 тыс. руб.;</w:t>
            </w:r>
          </w:p>
          <w:p>
            <w:pPr>
              <w:pStyle w:val="Normal"/>
              <w:widowControl w:val="false"/>
              <w:rPr>
                <w:sz w:val="28"/>
                <w:szCs w:val="28"/>
              </w:rPr>
            </w:pPr>
            <w:r>
              <w:rPr>
                <w:sz w:val="28"/>
                <w:szCs w:val="28"/>
              </w:rPr>
              <w:t xml:space="preserve">2020 год – </w:t>
            </w:r>
            <w:r>
              <w:rPr>
                <w:rFonts w:eastAsia="Times New Roman" w:cs="Times New Roman"/>
                <w:color w:val="auto"/>
                <w:kern w:val="0"/>
                <w:sz w:val="28"/>
                <w:szCs w:val="28"/>
                <w:lang w:val="ru-RU" w:eastAsia="ru-RU" w:bidi="ar-SA"/>
              </w:rPr>
              <w:t xml:space="preserve">3887,0 </w:t>
            </w:r>
            <w:r>
              <w:rPr>
                <w:sz w:val="28"/>
                <w:szCs w:val="28"/>
              </w:rPr>
              <w:t>тыс. руб.;</w:t>
            </w:r>
          </w:p>
          <w:p>
            <w:pPr>
              <w:pStyle w:val="Normal"/>
              <w:widowControl w:val="false"/>
              <w:rPr>
                <w:sz w:val="28"/>
                <w:szCs w:val="28"/>
              </w:rPr>
            </w:pPr>
            <w:r>
              <w:rPr>
                <w:sz w:val="28"/>
                <w:szCs w:val="28"/>
              </w:rPr>
              <w:t>2021 год – 1292,6 тыс. руб.;</w:t>
            </w:r>
          </w:p>
          <w:p>
            <w:pPr>
              <w:pStyle w:val="Normal"/>
              <w:widowControl w:val="false"/>
              <w:rPr>
                <w:sz w:val="28"/>
                <w:szCs w:val="28"/>
              </w:rPr>
            </w:pPr>
            <w:r>
              <w:rPr>
                <w:sz w:val="28"/>
                <w:szCs w:val="28"/>
              </w:rPr>
              <w:t>2022 год – 1342,8 тыс. руб.;</w:t>
            </w:r>
          </w:p>
          <w:p>
            <w:pPr>
              <w:pStyle w:val="Normal"/>
              <w:widowControl w:val="false"/>
              <w:rPr>
                <w:sz w:val="28"/>
                <w:szCs w:val="28"/>
              </w:rPr>
            </w:pPr>
            <w:r>
              <w:rPr>
                <w:sz w:val="28"/>
                <w:szCs w:val="28"/>
              </w:rPr>
              <w:t>2023 год – 1342,8 тыс. руб.;</w:t>
            </w:r>
          </w:p>
          <w:p>
            <w:pPr>
              <w:pStyle w:val="Normal"/>
              <w:widowControl w:val="false"/>
              <w:rPr>
                <w:sz w:val="28"/>
                <w:szCs w:val="28"/>
              </w:rPr>
            </w:pPr>
            <w:r>
              <w:rPr>
                <w:sz w:val="28"/>
                <w:szCs w:val="28"/>
              </w:rPr>
              <w:t>2024 год – 1342,8 тыс. руб.</w:t>
            </w:r>
          </w:p>
          <w:p>
            <w:pPr>
              <w:pStyle w:val="Normal"/>
              <w:widowControl w:val="false"/>
              <w:numPr>
                <w:ilvl w:val="0"/>
                <w:numId w:val="0"/>
              </w:numPr>
              <w:ind w:left="0" w:hanging="0"/>
              <w:jc w:val="both"/>
              <w:outlineLvl w:val="1"/>
              <w:rPr>
                <w:sz w:val="28"/>
                <w:szCs w:val="28"/>
              </w:rPr>
            </w:pPr>
            <w:r>
              <w:rPr>
                <w:sz w:val="28"/>
                <w:szCs w:val="28"/>
              </w:rPr>
            </w:r>
          </w:p>
          <w:p>
            <w:pPr>
              <w:pStyle w:val="Normal"/>
              <w:widowControl w:val="false"/>
              <w:rPr>
                <w:sz w:val="28"/>
                <w:szCs w:val="28"/>
              </w:rPr>
            </w:pPr>
            <w:r>
              <w:rPr>
                <w:sz w:val="28"/>
                <w:szCs w:val="28"/>
              </w:rPr>
              <w:t>областной бюджет: 0,0 тыс. руб.,</w:t>
            </w:r>
          </w:p>
          <w:p>
            <w:pPr>
              <w:pStyle w:val="Normal"/>
              <w:widowControl w:val="false"/>
              <w:rPr>
                <w:sz w:val="28"/>
                <w:szCs w:val="28"/>
              </w:rPr>
            </w:pPr>
            <w:r>
              <w:rPr>
                <w:sz w:val="28"/>
                <w:szCs w:val="28"/>
              </w:rPr>
              <w:t>в том числепо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34" w:name="OLE_LINK34"/>
            <w:bookmarkStart w:id="35" w:name="OLE_LINK35"/>
            <w:bookmarkStart w:id="36" w:name="OLE_LINK32"/>
            <w:bookmarkStart w:id="37" w:name="OLE_LINK33"/>
            <w:bookmarkEnd w:id="34"/>
            <w:bookmarkEnd w:id="35"/>
            <w:bookmarkEnd w:id="36"/>
            <w:bookmarkEnd w:id="37"/>
          </w:p>
          <w:p>
            <w:pPr>
              <w:pStyle w:val="Normal"/>
              <w:widowControl w:val="false"/>
              <w:rPr>
                <w:sz w:val="28"/>
                <w:szCs w:val="28"/>
              </w:rPr>
            </w:pPr>
            <w:r>
              <w:rPr>
                <w:sz w:val="28"/>
                <w:szCs w:val="28"/>
              </w:rPr>
            </w:r>
          </w:p>
          <w:p>
            <w:pPr>
              <w:pStyle w:val="Normal"/>
              <w:widowControl w:val="false"/>
              <w:rPr>
                <w:sz w:val="28"/>
                <w:szCs w:val="28"/>
              </w:rPr>
            </w:pPr>
            <w:r>
              <w:rPr>
                <w:sz w:val="28"/>
                <w:szCs w:val="28"/>
              </w:rPr>
              <w:t>федеральный бюджет: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внебюджетные источники: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tc>
      </w:tr>
    </w:tbl>
    <w:p>
      <w:pPr>
        <w:pStyle w:val="Normal"/>
        <w:jc w:val="center"/>
        <w:rPr>
          <w:sz w:val="28"/>
          <w:szCs w:val="28"/>
        </w:rPr>
      </w:pPr>
      <w:r>
        <w:rPr>
          <w:sz w:val="28"/>
          <w:szCs w:val="28"/>
        </w:rPr>
      </w:r>
    </w:p>
    <w:p>
      <w:pPr>
        <w:pStyle w:val="Normal"/>
        <w:jc w:val="center"/>
        <w:rPr>
          <w:sz w:val="28"/>
          <w:szCs w:val="28"/>
        </w:rPr>
      </w:pPr>
      <w:r>
        <w:rPr>
          <w:sz w:val="28"/>
          <w:szCs w:val="28"/>
        </w:rPr>
        <w:t>Характеристика и анализ текущего состояния сферы управления муниципальной собственностью</w:t>
      </w:r>
    </w:p>
    <w:p>
      <w:pPr>
        <w:pStyle w:val="Normal"/>
        <w:jc w:val="center"/>
        <w:rPr>
          <w:b/>
          <w:b/>
        </w:rPr>
      </w:pPr>
      <w:r>
        <w:rPr>
          <w:b/>
        </w:rPr>
      </w:r>
    </w:p>
    <w:p>
      <w:pPr>
        <w:pStyle w:val="Normal"/>
        <w:ind w:firstLine="567"/>
        <w:jc w:val="both"/>
        <w:rPr>
          <w:spacing w:val="2"/>
          <w:sz w:val="28"/>
          <w:szCs w:val="28"/>
          <w:highlight w:val="white"/>
        </w:rPr>
      </w:pPr>
      <w:r>
        <w:rPr>
          <w:spacing w:val="2"/>
          <w:sz w:val="28"/>
          <w:szCs w:val="28"/>
          <w:shd w:fill="FFFFFF" w:val="clear"/>
        </w:rPr>
        <w:t>Управление муниципальным имуществом является неотъемлемой частью деятельности администрации городского округа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pPr>
        <w:pStyle w:val="Normal"/>
        <w:ind w:firstLine="567"/>
        <w:jc w:val="both"/>
        <w:rPr>
          <w:spacing w:val="2"/>
          <w:sz w:val="28"/>
          <w:szCs w:val="28"/>
          <w:highlight w:val="white"/>
        </w:rPr>
      </w:pPr>
      <w:r>
        <w:rPr>
          <w:spacing w:val="2"/>
          <w:sz w:val="28"/>
          <w:szCs w:val="28"/>
          <w:shd w:fill="FFFFFF" w:val="clear"/>
        </w:rPr>
        <w:t>От эффективности управления и распоряжения муниципальным 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pPr>
        <w:pStyle w:val="ConsPlusNormal2"/>
        <w:widowControl/>
        <w:ind w:left="567"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2"/>
        <w:widowControl/>
        <w:ind w:left="567" w:hanging="0"/>
        <w:jc w:val="right"/>
        <w:rPr>
          <w:rFonts w:ascii="Times New Roman" w:hAnsi="Times New Roman" w:cs="Times New Roman"/>
          <w:sz w:val="28"/>
          <w:szCs w:val="28"/>
        </w:rPr>
      </w:pPr>
      <w:r>
        <w:rPr>
          <w:rFonts w:cs="Times New Roman" w:ascii="Times New Roman" w:hAnsi="Times New Roman"/>
          <w:sz w:val="28"/>
          <w:szCs w:val="28"/>
        </w:rPr>
        <w:t>Таблица 1</w:t>
      </w:r>
    </w:p>
    <w:tbl>
      <w:tblPr>
        <w:tblW w:w="9639" w:type="dxa"/>
        <w:jc w:val="left"/>
        <w:tblInd w:w="291" w:type="dxa"/>
        <w:tblCellMar>
          <w:top w:w="0" w:type="dxa"/>
          <w:left w:w="149" w:type="dxa"/>
          <w:bottom w:w="0" w:type="dxa"/>
          <w:right w:w="149" w:type="dxa"/>
        </w:tblCellMar>
        <w:tblLook w:firstRow="1" w:noVBand="1" w:lastRow="0" w:firstColumn="1" w:lastColumn="0" w:noHBand="0" w:val="04a0"/>
      </w:tblPr>
      <w:tblGrid>
        <w:gridCol w:w="4217"/>
        <w:gridCol w:w="1815"/>
        <w:gridCol w:w="1815"/>
        <w:gridCol w:w="1791"/>
      </w:tblGrid>
      <w:tr>
        <w:trPr/>
        <w:tc>
          <w:tcPr>
            <w:tcW w:w="42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Виды доходов</w:t>
            </w:r>
          </w:p>
        </w:tc>
        <w:tc>
          <w:tcPr>
            <w:tcW w:w="5421"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Поступления в бюджет города, тыс. руб.</w:t>
            </w:r>
          </w:p>
        </w:tc>
      </w:tr>
      <w:tr>
        <w:trPr/>
        <w:tc>
          <w:tcPr>
            <w:tcW w:w="42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76"/>
              <w:rPr/>
            </w:pPr>
            <w:r>
              <w:rPr/>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2014 год</w:t>
            </w:r>
          </w:p>
        </w:tc>
        <w:tc>
          <w:tcPr>
            <w:tcW w:w="17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2015 год</w:t>
            </w:r>
          </w:p>
        </w:tc>
      </w:tr>
      <w:tr>
        <w:trPr/>
        <w:tc>
          <w:tcPr>
            <w:tcW w:w="42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textAlignment w:val="baseline"/>
              <w:rPr>
                <w:spacing w:val="2"/>
                <w:sz w:val="26"/>
                <w:szCs w:val="26"/>
                <w:lang w:eastAsia="en-US"/>
              </w:rPr>
            </w:pPr>
            <w:r>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2 318 246,16</w:t>
            </w:r>
          </w:p>
        </w:tc>
        <w:tc>
          <w:tcPr>
            <w:tcW w:w="17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2 670 887,24</w:t>
            </w:r>
          </w:p>
        </w:tc>
      </w:tr>
      <w:tr>
        <w:trPr/>
        <w:tc>
          <w:tcPr>
            <w:tcW w:w="42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323 500</w:t>
            </w:r>
          </w:p>
        </w:tc>
        <w:tc>
          <w:tcPr>
            <w:tcW w:w="17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105 928</w:t>
            </w:r>
          </w:p>
        </w:tc>
      </w:tr>
      <w:tr>
        <w:trPr/>
        <w:tc>
          <w:tcPr>
            <w:tcW w:w="42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2641746.16</w:t>
            </w:r>
          </w:p>
        </w:tc>
        <w:tc>
          <w:tcPr>
            <w:tcW w:w="17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tLeast" w:line="291" w:before="0" w:after="200"/>
              <w:jc w:val="center"/>
              <w:textAlignment w:val="baseline"/>
              <w:rPr>
                <w:spacing w:val="2"/>
                <w:sz w:val="26"/>
                <w:szCs w:val="26"/>
                <w:lang w:eastAsia="en-US"/>
              </w:rPr>
            </w:pPr>
            <w:r>
              <w:rPr>
                <w:spacing w:val="2"/>
                <w:sz w:val="26"/>
                <w:szCs w:val="26"/>
                <w:lang w:eastAsia="en-US"/>
              </w:rPr>
              <w:t>1265051.08</w:t>
            </w:r>
          </w:p>
        </w:tc>
      </w:tr>
    </w:tbl>
    <w:p>
      <w:pPr>
        <w:pStyle w:val="ConsPlusNormal1"/>
        <w:ind w:firstLine="540"/>
        <w:jc w:val="both"/>
        <w:rPr>
          <w:rFonts w:ascii="Times New Roman" w:hAnsi="Times New Roman" w:cs="Times New Roman"/>
          <w:bCs/>
        </w:rPr>
      </w:pPr>
      <w:r>
        <w:rPr>
          <w:rFonts w:cs="Times New Roman" w:ascii="Times New Roman" w:hAnsi="Times New Roman"/>
          <w:bCs/>
        </w:rPr>
      </w:r>
    </w:p>
    <w:p>
      <w:pPr>
        <w:pStyle w:val="ConsPlusNormal1"/>
        <w:ind w:firstLine="540"/>
        <w:jc w:val="both"/>
        <w:rPr>
          <w:rFonts w:ascii="Times New Roman" w:hAnsi="Times New Roman" w:cs="Times New Roman"/>
          <w:sz w:val="28"/>
          <w:szCs w:val="28"/>
        </w:rPr>
      </w:pPr>
      <w:r>
        <w:rPr>
          <w:rFonts w:cs="Times New Roman" w:ascii="Times New Roman" w:hAnsi="Times New Roman"/>
          <w:bCs/>
          <w:sz w:val="28"/>
          <w:szCs w:val="28"/>
        </w:rPr>
        <w:t>Учет муниципального имущества осуществляется путем ведения реестра объектов муниципальной собственности, отражения движения муниципального имущества.</w:t>
      </w:r>
    </w:p>
    <w:p>
      <w:pPr>
        <w:pStyle w:val="ConsPlusNormal2"/>
        <w:widowControl/>
        <w:ind w:firstLine="567"/>
        <w:jc w:val="both"/>
        <w:rPr>
          <w:rFonts w:ascii="Times New Roman" w:hAnsi="Times New Roman" w:cs="Times New Roman"/>
          <w:sz w:val="28"/>
          <w:szCs w:val="28"/>
        </w:rPr>
      </w:pPr>
      <w:r>
        <w:rPr>
          <w:rFonts w:cs="Times New Roman" w:ascii="Times New Roman" w:hAnsi="Times New Roman"/>
          <w:sz w:val="28"/>
          <w:szCs w:val="28"/>
        </w:rPr>
        <w:t>Состав муниципального имущества, включенного в реестр объектов муниципальной собственности городского округа ЗАТО Свободный, и динамика его балансовой стоимости, 2013-2015 гг.</w:t>
      </w:r>
    </w:p>
    <w:p>
      <w:pPr>
        <w:pStyle w:val="ConsPlusNormal2"/>
        <w:widowControl/>
        <w:ind w:left="567" w:hanging="27"/>
        <w:jc w:val="right"/>
        <w:rPr>
          <w:rFonts w:ascii="Times New Roman" w:hAnsi="Times New Roman" w:cs="Times New Roman"/>
          <w:sz w:val="28"/>
          <w:szCs w:val="28"/>
        </w:rPr>
      </w:pPr>
      <w:r>
        <w:rPr>
          <w:rFonts w:cs="Times New Roman" w:ascii="Times New Roman" w:hAnsi="Times New Roman"/>
          <w:sz w:val="28"/>
          <w:szCs w:val="28"/>
        </w:rPr>
        <w:t>Таблица 2</w:t>
      </w:r>
    </w:p>
    <w:tbl>
      <w:tblPr>
        <w:tblStyle w:val="ab"/>
        <w:tblW w:w="9639" w:type="dxa"/>
        <w:jc w:val="left"/>
        <w:tblInd w:w="109" w:type="dxa"/>
        <w:tblCellMar>
          <w:top w:w="0" w:type="dxa"/>
          <w:left w:w="108" w:type="dxa"/>
          <w:bottom w:w="0" w:type="dxa"/>
          <w:right w:w="108" w:type="dxa"/>
        </w:tblCellMar>
        <w:tblLook w:firstRow="1" w:noVBand="1" w:lastRow="0" w:firstColumn="1" w:lastColumn="0" w:noHBand="0" w:val="04a0"/>
      </w:tblPr>
      <w:tblGrid>
        <w:gridCol w:w="2833"/>
        <w:gridCol w:w="2269"/>
        <w:gridCol w:w="2411"/>
        <w:gridCol w:w="2125"/>
      </w:tblGrid>
      <w:tr>
        <w:trPr/>
        <w:tc>
          <w:tcPr>
            <w:tcW w:w="2833" w:type="dxa"/>
            <w:vMerge w:val="restart"/>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Показатель</w:t>
            </w:r>
          </w:p>
        </w:tc>
        <w:tc>
          <w:tcPr>
            <w:tcW w:w="6805" w:type="dxa"/>
            <w:gridSpan w:val="3"/>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Значение</w:t>
            </w:r>
          </w:p>
        </w:tc>
      </w:tr>
      <w:tr>
        <w:trPr/>
        <w:tc>
          <w:tcPr>
            <w:tcW w:w="2833" w:type="dxa"/>
            <w:vMerge w:val="continue"/>
            <w:tcBorders/>
            <w:vAlign w:val="center"/>
          </w:tcPr>
          <w:p>
            <w:pPr>
              <w:pStyle w:val="Normal"/>
              <w:rPr>
                <w:sz w:val="26"/>
                <w:szCs w:val="26"/>
                <w:lang w:eastAsia="en-US"/>
              </w:rPr>
            </w:pPr>
            <w:r>
              <w:rPr>
                <w:sz w:val="26"/>
                <w:szCs w:val="26"/>
                <w:lang w:eastAsia="en-US"/>
              </w:rPr>
            </w:r>
          </w:p>
        </w:tc>
        <w:tc>
          <w:tcPr>
            <w:tcW w:w="2269"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тыс.руб.</w:t>
            </w:r>
          </w:p>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на 01.01.2013</w:t>
            </w:r>
          </w:p>
        </w:tc>
        <w:tc>
          <w:tcPr>
            <w:tcW w:w="2411"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тыс.руб.</w:t>
            </w:r>
          </w:p>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на 01.01.2014</w:t>
            </w:r>
          </w:p>
        </w:tc>
        <w:tc>
          <w:tcPr>
            <w:tcW w:w="2125"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тыс.руб.</w:t>
            </w:r>
          </w:p>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на 01.01.2015</w:t>
            </w:r>
          </w:p>
        </w:tc>
      </w:tr>
      <w:tr>
        <w:trPr>
          <w:trHeight w:val="506" w:hRule="atLeast"/>
        </w:trPr>
        <w:tc>
          <w:tcPr>
            <w:tcW w:w="2833" w:type="dxa"/>
            <w:tcBorders/>
          </w:tcPr>
          <w:p>
            <w:pPr>
              <w:pStyle w:val="Normal"/>
              <w:widowControl w:val="false"/>
              <w:numPr>
                <w:ilvl w:val="0"/>
                <w:numId w:val="0"/>
              </w:numPr>
              <w:ind w:left="0" w:hanging="0"/>
              <w:jc w:val="both"/>
              <w:outlineLvl w:val="1"/>
              <w:rPr>
                <w:sz w:val="26"/>
                <w:szCs w:val="26"/>
              </w:rPr>
            </w:pPr>
            <w:r>
              <w:rPr>
                <w:rFonts w:eastAsia="Times New Roman" w:cs="Times New Roman"/>
                <w:sz w:val="26"/>
                <w:szCs w:val="26"/>
                <w:lang w:eastAsia="ru-RU"/>
              </w:rPr>
              <w:t>Имущество всего</w:t>
            </w:r>
          </w:p>
        </w:tc>
        <w:tc>
          <w:tcPr>
            <w:tcW w:w="2269"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874864,82</w:t>
            </w:r>
          </w:p>
        </w:tc>
        <w:tc>
          <w:tcPr>
            <w:tcW w:w="2411"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925827,08</w:t>
            </w:r>
          </w:p>
        </w:tc>
        <w:tc>
          <w:tcPr>
            <w:tcW w:w="2125"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937109,28</w:t>
            </w:r>
          </w:p>
        </w:tc>
      </w:tr>
      <w:tr>
        <w:trPr>
          <w:trHeight w:val="413" w:hRule="atLeast"/>
        </w:trPr>
        <w:tc>
          <w:tcPr>
            <w:tcW w:w="2833" w:type="dxa"/>
            <w:tcBorders/>
          </w:tcPr>
          <w:p>
            <w:pPr>
              <w:pStyle w:val="Normal"/>
              <w:widowControl w:val="false"/>
              <w:numPr>
                <w:ilvl w:val="0"/>
                <w:numId w:val="0"/>
              </w:numPr>
              <w:ind w:left="0" w:hanging="0"/>
              <w:jc w:val="both"/>
              <w:outlineLvl w:val="1"/>
              <w:rPr>
                <w:sz w:val="26"/>
                <w:szCs w:val="26"/>
              </w:rPr>
            </w:pPr>
            <w:r>
              <w:rPr>
                <w:rFonts w:eastAsia="Times New Roman" w:cs="Times New Roman"/>
                <w:sz w:val="26"/>
                <w:szCs w:val="26"/>
                <w:lang w:eastAsia="ru-RU"/>
              </w:rPr>
              <w:t>Движимое имущество</w:t>
            </w:r>
          </w:p>
        </w:tc>
        <w:tc>
          <w:tcPr>
            <w:tcW w:w="2269"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21184,72</w:t>
            </w:r>
          </w:p>
        </w:tc>
        <w:tc>
          <w:tcPr>
            <w:tcW w:w="2411"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12877,68</w:t>
            </w:r>
          </w:p>
        </w:tc>
        <w:tc>
          <w:tcPr>
            <w:tcW w:w="2125"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9863,98</w:t>
            </w:r>
          </w:p>
        </w:tc>
      </w:tr>
      <w:tr>
        <w:trPr>
          <w:trHeight w:val="561" w:hRule="atLeast"/>
        </w:trPr>
        <w:tc>
          <w:tcPr>
            <w:tcW w:w="2833" w:type="dxa"/>
            <w:tcBorders/>
          </w:tcPr>
          <w:p>
            <w:pPr>
              <w:pStyle w:val="Normal"/>
              <w:widowControl w:val="false"/>
              <w:numPr>
                <w:ilvl w:val="0"/>
                <w:numId w:val="0"/>
              </w:numPr>
              <w:ind w:left="0" w:hanging="0"/>
              <w:jc w:val="both"/>
              <w:outlineLvl w:val="1"/>
              <w:rPr>
                <w:sz w:val="26"/>
                <w:szCs w:val="26"/>
              </w:rPr>
            </w:pPr>
            <w:r>
              <w:rPr>
                <w:rFonts w:eastAsia="Times New Roman" w:cs="Times New Roman"/>
                <w:sz w:val="26"/>
                <w:szCs w:val="26"/>
                <w:lang w:eastAsia="ru-RU"/>
              </w:rPr>
              <w:t>Недвижимое имущество</w:t>
            </w:r>
          </w:p>
        </w:tc>
        <w:tc>
          <w:tcPr>
            <w:tcW w:w="2269"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859680,10</w:t>
            </w:r>
          </w:p>
        </w:tc>
        <w:tc>
          <w:tcPr>
            <w:tcW w:w="2411"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912949,4</w:t>
            </w:r>
          </w:p>
        </w:tc>
        <w:tc>
          <w:tcPr>
            <w:tcW w:w="2125" w:type="dxa"/>
            <w:tcBorders/>
          </w:tcPr>
          <w:p>
            <w:pPr>
              <w:pStyle w:val="Normal"/>
              <w:widowControl w:val="false"/>
              <w:numPr>
                <w:ilvl w:val="0"/>
                <w:numId w:val="0"/>
              </w:numPr>
              <w:ind w:left="0" w:hanging="0"/>
              <w:jc w:val="center"/>
              <w:outlineLvl w:val="1"/>
              <w:rPr>
                <w:sz w:val="26"/>
                <w:szCs w:val="26"/>
              </w:rPr>
            </w:pPr>
            <w:r>
              <w:rPr>
                <w:rFonts w:eastAsia="Times New Roman" w:cs="Times New Roman"/>
                <w:sz w:val="26"/>
                <w:szCs w:val="26"/>
                <w:lang w:eastAsia="ru-RU"/>
              </w:rPr>
              <w:t>927245,3</w:t>
            </w:r>
          </w:p>
        </w:tc>
      </w:tr>
    </w:tbl>
    <w:p>
      <w:pPr>
        <w:pStyle w:val="ConsPlusNormal1"/>
        <w:ind w:firstLine="540"/>
        <w:jc w:val="both"/>
        <w:rPr>
          <w:rFonts w:ascii="Times New Roman" w:hAnsi="Times New Roman" w:cs="Times New Roman"/>
        </w:rPr>
      </w:pPr>
      <w:r>
        <w:rPr>
          <w:rFonts w:cs="Times New Roman" w:ascii="Times New Roman" w:hAnsi="Times New Roman"/>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Несмотря на принимаемые меры в данной сфере деятельности сохраняются следующие проблемы: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отсутствие оформленного права муниципальной собственности на объекты муниципальной собственности;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недостаточная полнота учета муниципального имущества в соответствии с действующим законодательством;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Существуют проблемы и с обеспечением сохранности муниципального имущества.</w:t>
      </w:r>
    </w:p>
    <w:p>
      <w:pPr>
        <w:pStyle w:val="Normal"/>
        <w:ind w:firstLine="708"/>
        <w:jc w:val="both"/>
        <w:rPr>
          <w:sz w:val="28"/>
          <w:szCs w:val="28"/>
        </w:rPr>
      </w:pPr>
      <w:r>
        <w:rPr>
          <w:sz w:val="28"/>
          <w:szCs w:val="28"/>
        </w:rPr>
        <w:t>Население, проживающее на улице Зеленой, по решению Думы городского округа ЗАТО Свободный от 17.09.2010 №46/23, было переселено в течение 2011 года в поселок Свободный. Объекты коммунальной инфраструктуры и инженерные сети улицы Зеленая выведены из эксплуатации и в настоящее время не используются, а именно:</w:t>
      </w:r>
    </w:p>
    <w:p>
      <w:pPr>
        <w:pStyle w:val="Normal"/>
        <w:jc w:val="both"/>
        <w:rPr>
          <w:sz w:val="28"/>
          <w:szCs w:val="28"/>
        </w:rPr>
      </w:pPr>
      <w:r>
        <w:rPr>
          <w:sz w:val="28"/>
          <w:szCs w:val="28"/>
        </w:rPr>
        <w:t>- 6 жилых домов;</w:t>
      </w:r>
    </w:p>
    <w:p>
      <w:pPr>
        <w:pStyle w:val="Normal"/>
        <w:jc w:val="both"/>
        <w:rPr>
          <w:sz w:val="28"/>
          <w:szCs w:val="28"/>
        </w:rPr>
      </w:pPr>
      <w:r>
        <w:rPr>
          <w:sz w:val="28"/>
          <w:szCs w:val="28"/>
        </w:rPr>
        <w:t xml:space="preserve"> </w:t>
      </w:r>
      <w:r>
        <w:rPr>
          <w:sz w:val="28"/>
          <w:szCs w:val="28"/>
        </w:rPr>
        <w:t>- школа на 320 мест;</w:t>
      </w:r>
    </w:p>
    <w:p>
      <w:pPr>
        <w:pStyle w:val="Normal"/>
        <w:jc w:val="both"/>
        <w:rPr>
          <w:sz w:val="28"/>
          <w:szCs w:val="28"/>
        </w:rPr>
      </w:pPr>
      <w:r>
        <w:rPr>
          <w:sz w:val="28"/>
          <w:szCs w:val="28"/>
        </w:rPr>
        <w:t>- детский сад на 110 мест;</w:t>
      </w:r>
    </w:p>
    <w:p>
      <w:pPr>
        <w:pStyle w:val="Normal"/>
        <w:jc w:val="both"/>
        <w:rPr>
          <w:sz w:val="28"/>
          <w:szCs w:val="28"/>
        </w:rPr>
      </w:pPr>
      <w:r>
        <w:rPr>
          <w:sz w:val="28"/>
          <w:szCs w:val="28"/>
        </w:rPr>
        <w:t>- офицерский клуб на 400 посадочных мест;</w:t>
      </w:r>
    </w:p>
    <w:p>
      <w:pPr>
        <w:pStyle w:val="Normal"/>
        <w:jc w:val="both"/>
        <w:rPr>
          <w:sz w:val="28"/>
          <w:szCs w:val="28"/>
        </w:rPr>
      </w:pPr>
      <w:r>
        <w:rPr>
          <w:sz w:val="28"/>
          <w:szCs w:val="28"/>
        </w:rPr>
        <w:t>- баня на 25 человек;</w:t>
      </w:r>
    </w:p>
    <w:p>
      <w:pPr>
        <w:pStyle w:val="Normal"/>
        <w:jc w:val="both"/>
        <w:rPr>
          <w:sz w:val="28"/>
          <w:szCs w:val="28"/>
        </w:rPr>
      </w:pPr>
      <w:r>
        <w:rPr>
          <w:sz w:val="28"/>
          <w:szCs w:val="28"/>
        </w:rPr>
        <w:t>- мазутная котельная;</w:t>
      </w:r>
    </w:p>
    <w:p>
      <w:pPr>
        <w:pStyle w:val="Normal"/>
        <w:jc w:val="both"/>
        <w:rPr>
          <w:sz w:val="28"/>
          <w:szCs w:val="28"/>
        </w:rPr>
      </w:pPr>
      <w:r>
        <w:rPr>
          <w:sz w:val="28"/>
          <w:szCs w:val="28"/>
        </w:rPr>
        <w:t xml:space="preserve"> </w:t>
      </w:r>
      <w:r>
        <w:rPr>
          <w:sz w:val="28"/>
          <w:szCs w:val="28"/>
        </w:rPr>
        <w:t>- мазутно-насосная станция;</w:t>
      </w:r>
    </w:p>
    <w:p>
      <w:pPr>
        <w:pStyle w:val="Normal"/>
        <w:jc w:val="both"/>
        <w:rPr>
          <w:sz w:val="28"/>
          <w:szCs w:val="28"/>
        </w:rPr>
      </w:pPr>
      <w:r>
        <w:rPr>
          <w:sz w:val="28"/>
          <w:szCs w:val="28"/>
        </w:rPr>
        <w:t xml:space="preserve">- мазутные емкости </w:t>
      </w:r>
      <w:r>
        <w:rPr>
          <w:sz w:val="28"/>
          <w:szCs w:val="28"/>
          <w:lang w:val="en-US"/>
        </w:rPr>
        <w:t>V</w:t>
      </w:r>
      <w:r>
        <w:rPr>
          <w:sz w:val="28"/>
          <w:szCs w:val="28"/>
        </w:rPr>
        <w:t>=1000м3;</w:t>
      </w:r>
    </w:p>
    <w:p>
      <w:pPr>
        <w:pStyle w:val="Normal"/>
        <w:jc w:val="both"/>
        <w:rPr>
          <w:sz w:val="28"/>
          <w:szCs w:val="28"/>
        </w:rPr>
      </w:pPr>
      <w:r>
        <w:rPr>
          <w:sz w:val="28"/>
          <w:szCs w:val="28"/>
        </w:rPr>
        <w:t>- насосная станция 2-го подъема;</w:t>
      </w:r>
    </w:p>
    <w:p>
      <w:pPr>
        <w:pStyle w:val="Normal"/>
        <w:jc w:val="both"/>
        <w:rPr>
          <w:sz w:val="28"/>
          <w:szCs w:val="28"/>
        </w:rPr>
      </w:pPr>
      <w:r>
        <w:rPr>
          <w:sz w:val="28"/>
          <w:szCs w:val="28"/>
        </w:rPr>
        <w:t>- резервуары запаса чистой воды</w:t>
      </w:r>
      <w:r>
        <w:rPr>
          <w:sz w:val="28"/>
          <w:szCs w:val="28"/>
          <w:lang w:val="en-US"/>
        </w:rPr>
        <w:t>V</w:t>
      </w:r>
      <w:r>
        <w:rPr>
          <w:sz w:val="28"/>
          <w:szCs w:val="28"/>
        </w:rPr>
        <w:t>=200м3;</w:t>
      </w:r>
    </w:p>
    <w:p>
      <w:pPr>
        <w:pStyle w:val="Normal"/>
        <w:jc w:val="both"/>
        <w:rPr>
          <w:sz w:val="28"/>
          <w:szCs w:val="28"/>
        </w:rPr>
      </w:pPr>
      <w:r>
        <w:rPr>
          <w:sz w:val="28"/>
          <w:szCs w:val="28"/>
        </w:rPr>
        <w:t>- канализационно-насосная станция;</w:t>
      </w:r>
    </w:p>
    <w:p>
      <w:pPr>
        <w:pStyle w:val="Normal"/>
        <w:jc w:val="both"/>
        <w:rPr>
          <w:sz w:val="28"/>
          <w:szCs w:val="28"/>
        </w:rPr>
      </w:pPr>
      <w:r>
        <w:rPr>
          <w:sz w:val="28"/>
          <w:szCs w:val="28"/>
        </w:rPr>
        <w:t>- артезианские скважины;</w:t>
      </w:r>
    </w:p>
    <w:p>
      <w:pPr>
        <w:pStyle w:val="Normal"/>
        <w:jc w:val="both"/>
        <w:rPr>
          <w:sz w:val="28"/>
          <w:szCs w:val="28"/>
        </w:rPr>
      </w:pPr>
      <w:r>
        <w:rPr>
          <w:sz w:val="28"/>
          <w:szCs w:val="28"/>
        </w:rPr>
        <w:t>- сети-тепло, -водоснабжения и канализации;</w:t>
      </w:r>
    </w:p>
    <w:p>
      <w:pPr>
        <w:pStyle w:val="Normal"/>
        <w:jc w:val="both"/>
        <w:rPr>
          <w:sz w:val="28"/>
          <w:szCs w:val="28"/>
        </w:rPr>
      </w:pPr>
      <w:r>
        <w:rPr>
          <w:sz w:val="28"/>
          <w:szCs w:val="28"/>
        </w:rPr>
        <w:t>- трансформаторные подстанции;</w:t>
      </w:r>
    </w:p>
    <w:p>
      <w:pPr>
        <w:pStyle w:val="Normal"/>
        <w:jc w:val="both"/>
        <w:rPr>
          <w:sz w:val="28"/>
          <w:szCs w:val="28"/>
        </w:rPr>
      </w:pPr>
      <w:r>
        <w:rPr>
          <w:sz w:val="28"/>
          <w:szCs w:val="28"/>
        </w:rPr>
        <w:t>- кабельная сеть электроснабжения 0.4 кВ;</w:t>
      </w:r>
    </w:p>
    <w:p>
      <w:pPr>
        <w:pStyle w:val="Normal"/>
        <w:jc w:val="both"/>
        <w:rPr>
          <w:sz w:val="28"/>
          <w:szCs w:val="28"/>
        </w:rPr>
      </w:pPr>
      <w:r>
        <w:rPr>
          <w:sz w:val="28"/>
          <w:szCs w:val="28"/>
        </w:rPr>
        <w:t>- воздушная сеть электроснабжения 0.4 кВ.</w:t>
      </w:r>
    </w:p>
    <w:p>
      <w:pPr>
        <w:pStyle w:val="Normal"/>
        <w:ind w:firstLine="540"/>
        <w:jc w:val="both"/>
        <w:rPr>
          <w:sz w:val="28"/>
          <w:szCs w:val="28"/>
        </w:rPr>
      </w:pPr>
      <w:r>
        <w:rPr>
          <w:sz w:val="28"/>
          <w:szCs w:val="28"/>
        </w:rPr>
        <w:t>На сегодняшней момент из всех вышеперечисленных объектов сданы в аренду ФГУП «ГУССТ № 8 при Спецстрое России» 5 объектов недвижимости (клуб, школа, детский сад и две трансформаторные подстанции).</w:t>
      </w:r>
    </w:p>
    <w:p>
      <w:pPr>
        <w:pStyle w:val="Normal"/>
        <w:ind w:firstLine="540"/>
        <w:jc w:val="both"/>
        <w:rPr>
          <w:sz w:val="28"/>
          <w:szCs w:val="28"/>
        </w:rPr>
      </w:pPr>
      <w:r>
        <w:rPr>
          <w:sz w:val="28"/>
          <w:szCs w:val="28"/>
        </w:rPr>
        <w:t>В связи с тем что, использование жилых домов в качестве жилых помещений может понадобиться для нужд Министерства обороны для расселения военнослужащих, после окончания строительства «Объекта 335» по Государственному контракту с Минобороны РФ, администрацией городского округа ЗАТО Свободный, с целью сохранности объектов муниципального имущества, осуществляется охрана объектов недвижимости, расположенных на улице Зеленая и строящегося объекта очистных сооружений бытовой канализации.</w:t>
      </w:r>
    </w:p>
    <w:p>
      <w:pPr>
        <w:pStyle w:val="Normal"/>
        <w:ind w:firstLine="540"/>
        <w:jc w:val="both"/>
        <w:rPr>
          <w:sz w:val="28"/>
          <w:szCs w:val="28"/>
        </w:rPr>
      </w:pPr>
      <w:r>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pPr>
        <w:pStyle w:val="Normal"/>
        <w:widowControl w:val="false"/>
        <w:numPr>
          <w:ilvl w:val="0"/>
          <w:numId w:val="0"/>
        </w:numPr>
        <w:ind w:left="0" w:firstLine="567"/>
        <w:jc w:val="both"/>
        <w:outlineLvl w:val="1"/>
        <w:rPr>
          <w:sz w:val="28"/>
          <w:szCs w:val="28"/>
        </w:rPr>
      </w:pPr>
      <w:r>
        <w:rPr>
          <w:sz w:val="28"/>
          <w:szCs w:val="28"/>
        </w:rPr>
        <w:t>Продолжится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округа ЗАТО Свободный.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Предполагается установить границу населенного пункта, что позволит планировать мероприятия по благоустройству территории. </w:t>
      </w:r>
    </w:p>
    <w:p>
      <w:pPr>
        <w:pStyle w:val="Normal"/>
        <w:rPr>
          <w:sz w:val="22"/>
          <w:szCs w:val="22"/>
        </w:rPr>
      </w:pPr>
      <w:r>
        <w:rPr>
          <w:sz w:val="22"/>
          <w:szCs w:val="22"/>
        </w:rPr>
      </w:r>
    </w:p>
    <w:p>
      <w:pPr>
        <w:pStyle w:val="Normal"/>
        <w:jc w:val="center"/>
        <w:rPr>
          <w:b/>
          <w:b/>
          <w:sz w:val="28"/>
          <w:szCs w:val="28"/>
        </w:rPr>
      </w:pPr>
      <w:r>
        <w:rPr>
          <w:b/>
          <w:sz w:val="28"/>
          <w:szCs w:val="28"/>
        </w:rPr>
        <w:t>ПОДПРОГРАММА 3: «Развитие информационного общества»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«Развитие информационного общества»</w:t>
      </w:r>
    </w:p>
    <w:p>
      <w:pPr>
        <w:pStyle w:val="Normal"/>
        <w:widowControl w:val="false"/>
        <w:jc w:val="both"/>
        <w:rPr>
          <w:sz w:val="28"/>
          <w:szCs w:val="28"/>
        </w:rPr>
      </w:pPr>
      <w:r>
        <w:rPr>
          <w:sz w:val="28"/>
          <w:szCs w:val="28"/>
        </w:rPr>
      </w:r>
    </w:p>
    <w:tbl>
      <w:tblPr>
        <w:tblW w:w="9355" w:type="dxa"/>
        <w:jc w:val="left"/>
        <w:tblInd w:w="75" w:type="dxa"/>
        <w:tblCellMar>
          <w:top w:w="0" w:type="dxa"/>
          <w:left w:w="75" w:type="dxa"/>
          <w:bottom w:w="0" w:type="dxa"/>
          <w:right w:w="75" w:type="dxa"/>
        </w:tblCellMar>
        <w:tblLook w:firstRow="1" w:noVBand="1" w:lastRow="0" w:firstColumn="1" w:lastColumn="0" w:noHBand="0" w:val="04a0"/>
      </w:tblPr>
      <w:tblGrid>
        <w:gridCol w:w="4164"/>
        <w:gridCol w:w="5190"/>
      </w:tblGrid>
      <w:tr>
        <w:trPr>
          <w:trHeight w:val="400" w:hRule="atLeast"/>
        </w:trPr>
        <w:tc>
          <w:tcPr>
            <w:tcW w:w="4164"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Ответственный исполнитель </w:t>
            </w:r>
          </w:p>
          <w:p>
            <w:pPr>
              <w:pStyle w:val="Normal"/>
              <w:widowControl w:val="false"/>
              <w:rPr>
                <w:sz w:val="28"/>
                <w:szCs w:val="28"/>
              </w:rPr>
            </w:pPr>
            <w:r>
              <w:rPr>
                <w:sz w:val="28"/>
                <w:szCs w:val="28"/>
              </w:rPr>
              <w:t xml:space="preserve">подпрограммы </w:t>
            </w:r>
          </w:p>
        </w:tc>
        <w:tc>
          <w:tcPr>
            <w:tcW w:w="5190" w:type="dxa"/>
            <w:tcBorders>
              <w:top w:val="single" w:sz="8" w:space="0" w:color="000000"/>
              <w:left w:val="single" w:sz="8" w:space="0" w:color="000000"/>
              <w:bottom w:val="single" w:sz="8" w:space="0" w:color="000000"/>
              <w:right w:val="single" w:sz="8" w:space="0" w:color="000000"/>
            </w:tcBorders>
          </w:tcPr>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t>1. Администрация городского округа</w:t>
              <w:br/>
              <w:t>ЗАТО Свободный;</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t>2. Муниципальное казенное учреждение «Административно-хозяйственная служба»;</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t>3. Муниципальное бюджетное учреждение культуры Дворец культуры «Свободный»</w:t>
            </w:r>
          </w:p>
        </w:tc>
      </w:tr>
      <w:tr>
        <w:trPr>
          <w:trHeight w:val="400" w:hRule="atLeast"/>
        </w:trPr>
        <w:tc>
          <w:tcPr>
            <w:tcW w:w="4164"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Сроки реализации подпрограммы</w:t>
            </w:r>
          </w:p>
        </w:tc>
        <w:tc>
          <w:tcPr>
            <w:tcW w:w="51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sz w:val="28"/>
                <w:szCs w:val="28"/>
              </w:rPr>
            </w:pPr>
            <w:r>
              <w:rPr>
                <w:sz w:val="28"/>
                <w:szCs w:val="28"/>
              </w:rPr>
              <w:t>2016-2024 годы</w:t>
            </w:r>
          </w:p>
        </w:tc>
      </w:tr>
      <w:tr>
        <w:trPr/>
        <w:tc>
          <w:tcPr>
            <w:tcW w:w="4164"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Цели и задачи подпрограммы</w:t>
            </w:r>
          </w:p>
        </w:tc>
        <w:tc>
          <w:tcPr>
            <w:tcW w:w="5190" w:type="dxa"/>
            <w:tcBorders>
              <w:top w:val="single" w:sz="8" w:space="0" w:color="000000"/>
              <w:left w:val="single" w:sz="8" w:space="0" w:color="000000"/>
              <w:bottom w:val="single" w:sz="8" w:space="0" w:color="000000"/>
              <w:right w:val="single" w:sz="8" w:space="0" w:color="000000"/>
            </w:tcBorders>
          </w:tcPr>
          <w:p>
            <w:pPr>
              <w:pStyle w:val="Normal"/>
              <w:rPr>
                <w:sz w:val="28"/>
                <w:szCs w:val="28"/>
              </w:rPr>
            </w:pPr>
            <w:r>
              <w:rPr>
                <w:sz w:val="28"/>
                <w:szCs w:val="28"/>
              </w:rPr>
              <w:t>Цель: Совершенствование системы муниципального управления на основе использования современных информационных и телекоммуникационных технологий.</w:t>
            </w:r>
          </w:p>
          <w:p>
            <w:pPr>
              <w:pStyle w:val="Normal"/>
              <w:rPr>
                <w:sz w:val="28"/>
                <w:szCs w:val="28"/>
              </w:rPr>
            </w:pPr>
            <w:r>
              <w:rPr>
                <w:sz w:val="28"/>
                <w:szCs w:val="28"/>
              </w:rPr>
              <w:t>Задачи:</w:t>
            </w:r>
          </w:p>
          <w:p>
            <w:pPr>
              <w:pStyle w:val="Normal"/>
              <w:rPr>
                <w:sz w:val="28"/>
                <w:szCs w:val="28"/>
              </w:rPr>
            </w:pPr>
            <w:r>
              <w:rPr>
                <w:sz w:val="28"/>
                <w:szCs w:val="28"/>
              </w:rPr>
              <w:t>1.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p>
            <w:pPr>
              <w:pStyle w:val="Normal"/>
              <w:rPr>
                <w:sz w:val="28"/>
                <w:szCs w:val="28"/>
              </w:rPr>
            </w:pPr>
            <w:r>
              <w:rPr>
                <w:sz w:val="28"/>
                <w:szCs w:val="28"/>
              </w:rPr>
              <w:t>2. Повышение качества и доступности предоставления государственных и муниципальных услуг, упрощение и сокращение сроков их оказания.</w:t>
            </w:r>
          </w:p>
        </w:tc>
      </w:tr>
      <w:tr>
        <w:trPr>
          <w:trHeight w:val="600" w:hRule="atLeast"/>
        </w:trPr>
        <w:tc>
          <w:tcPr>
            <w:tcW w:w="4164"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Перечень целевых</w:t>
            </w:r>
          </w:p>
          <w:p>
            <w:pPr>
              <w:pStyle w:val="Normal"/>
              <w:widowControl w:val="false"/>
              <w:rPr>
                <w:sz w:val="28"/>
                <w:szCs w:val="28"/>
              </w:rPr>
            </w:pPr>
            <w:r>
              <w:rPr>
                <w:sz w:val="28"/>
                <w:szCs w:val="28"/>
              </w:rPr>
              <w:t xml:space="preserve">показателей подпрограммы </w:t>
            </w:r>
          </w:p>
        </w:tc>
        <w:tc>
          <w:tcPr>
            <w:tcW w:w="5190" w:type="dxa"/>
            <w:tcBorders>
              <w:top w:val="single" w:sz="8" w:space="0" w:color="000000"/>
              <w:left w:val="single" w:sz="8" w:space="0" w:color="000000"/>
              <w:bottom w:val="single" w:sz="8" w:space="0" w:color="000000"/>
              <w:right w:val="single" w:sz="8" w:space="0" w:color="000000"/>
            </w:tcBorders>
          </w:tcPr>
          <w:p>
            <w:pPr>
              <w:pStyle w:val="Normal"/>
              <w:rPr>
                <w:sz w:val="28"/>
                <w:szCs w:val="28"/>
              </w:rPr>
            </w:pPr>
            <w:r>
              <w:rPr>
                <w:sz w:val="28"/>
                <w:szCs w:val="28"/>
              </w:rPr>
              <w:t>1.Доля персональных компьютеров работников органов местного самоуправления, на которых организован доступ в сеть Интернет.</w:t>
            </w:r>
          </w:p>
          <w:p>
            <w:pPr>
              <w:pStyle w:val="Normal"/>
              <w:widowControl w:val="false"/>
              <w:rPr>
                <w:sz w:val="28"/>
                <w:szCs w:val="28"/>
              </w:rPr>
            </w:pPr>
            <w:r>
              <w:rPr>
                <w:sz w:val="28"/>
                <w:szCs w:val="28"/>
              </w:rPr>
              <w:t>2.Наличие центра общественного доступа к сети Интернет на территории городского округа.</w:t>
            </w:r>
          </w:p>
          <w:p>
            <w:pPr>
              <w:pStyle w:val="Normal"/>
              <w:widowControl w:val="false"/>
              <w:rPr>
                <w:sz w:val="28"/>
                <w:szCs w:val="28"/>
              </w:rPr>
            </w:pPr>
            <w:r>
              <w:rPr>
                <w:sz w:val="28"/>
                <w:szCs w:val="28"/>
              </w:rPr>
              <w:t>3. Посещаемость официального сайта администрации городского округа ЗАТО Свободный.</w:t>
            </w:r>
          </w:p>
          <w:p>
            <w:pPr>
              <w:pStyle w:val="Normal"/>
              <w:rPr>
                <w:sz w:val="28"/>
                <w:szCs w:val="28"/>
              </w:rPr>
            </w:pPr>
            <w:r>
              <w:rPr>
                <w:sz w:val="28"/>
                <w:szCs w:val="28"/>
              </w:rPr>
              <w:t>4. Уровень удовлетворенности граждан качеством предоставления муниципальных услуг.</w:t>
            </w:r>
          </w:p>
          <w:p>
            <w:pPr>
              <w:pStyle w:val="Normal"/>
              <w:rPr>
                <w:sz w:val="28"/>
                <w:szCs w:val="28"/>
              </w:rPr>
            </w:pPr>
            <w:r>
              <w:rPr>
                <w:sz w:val="28"/>
                <w:szCs w:val="28"/>
              </w:rPr>
              <w:t>5. Сокращение времени ожидания в очереди при обращении заявителя для получения муниципальной услуги.</w:t>
            </w:r>
          </w:p>
        </w:tc>
      </w:tr>
      <w:tr>
        <w:trPr>
          <w:trHeight w:val="1116" w:hRule="atLeast"/>
        </w:trPr>
        <w:tc>
          <w:tcPr>
            <w:tcW w:w="41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sz w:val="28"/>
                <w:szCs w:val="28"/>
              </w:rPr>
            </w:pPr>
            <w:r>
              <w:rPr>
                <w:sz w:val="28"/>
                <w:szCs w:val="28"/>
              </w:rPr>
              <w:t xml:space="preserve">Объемы финансирования подпрограммы </w:t>
            </w:r>
          </w:p>
          <w:p>
            <w:pPr>
              <w:pStyle w:val="Normal"/>
              <w:widowControl w:val="false"/>
              <w:rPr>
                <w:sz w:val="28"/>
                <w:szCs w:val="28"/>
              </w:rPr>
            </w:pPr>
            <w:r>
              <w:rPr>
                <w:sz w:val="28"/>
                <w:szCs w:val="28"/>
              </w:rPr>
              <w:t xml:space="preserve">по годам реализации, </w:t>
            </w:r>
          </w:p>
          <w:p>
            <w:pPr>
              <w:pStyle w:val="Normal"/>
              <w:widowControl w:val="false"/>
              <w:rPr>
                <w:sz w:val="28"/>
                <w:szCs w:val="28"/>
              </w:rPr>
            </w:pPr>
            <w:r>
              <w:rPr>
                <w:sz w:val="28"/>
                <w:szCs w:val="28"/>
              </w:rPr>
              <w:t xml:space="preserve">тыс. рублей </w:t>
            </w:r>
          </w:p>
        </w:tc>
        <w:tc>
          <w:tcPr>
            <w:tcW w:w="5190"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sz w:val="28"/>
                <w:szCs w:val="28"/>
              </w:rPr>
            </w:pPr>
            <w:r>
              <w:rPr>
                <w:sz w:val="28"/>
                <w:szCs w:val="28"/>
              </w:rPr>
              <w:t xml:space="preserve">ВСЕГО: </w:t>
            </w:r>
            <w:bookmarkStart w:id="38" w:name="OLE_LINK38"/>
            <w:r>
              <w:rPr>
                <w:sz w:val="28"/>
                <w:szCs w:val="28"/>
              </w:rPr>
              <w:t xml:space="preserve">22740,1 </w:t>
            </w:r>
            <w:bookmarkEnd w:id="38"/>
            <w:r>
              <w:rPr>
                <w:sz w:val="28"/>
                <w:szCs w:val="28"/>
              </w:rPr>
              <w:t>тыс. руб.,</w:t>
            </w:r>
          </w:p>
          <w:p>
            <w:pPr>
              <w:pStyle w:val="Normal"/>
              <w:rPr>
                <w:sz w:val="28"/>
                <w:szCs w:val="28"/>
              </w:rPr>
            </w:pPr>
            <w:r>
              <w:rPr>
                <w:sz w:val="28"/>
                <w:szCs w:val="28"/>
              </w:rPr>
              <w:t>в том числе по годам реализации:</w:t>
            </w:r>
          </w:p>
          <w:p>
            <w:pPr>
              <w:pStyle w:val="Normal"/>
              <w:rPr>
                <w:sz w:val="28"/>
                <w:szCs w:val="28"/>
              </w:rPr>
            </w:pPr>
            <w:r>
              <w:rPr>
                <w:sz w:val="28"/>
                <w:szCs w:val="28"/>
              </w:rPr>
              <w:t>2016 год – 2376,8 тыс. руб.;</w:t>
            </w:r>
          </w:p>
          <w:p>
            <w:pPr>
              <w:pStyle w:val="Normal"/>
              <w:rPr>
                <w:sz w:val="28"/>
                <w:szCs w:val="28"/>
              </w:rPr>
            </w:pPr>
            <w:r>
              <w:rPr>
                <w:sz w:val="28"/>
                <w:szCs w:val="28"/>
              </w:rPr>
              <w:t>2017 год – 2223,0 тыс. руб.;</w:t>
            </w:r>
          </w:p>
          <w:p>
            <w:pPr>
              <w:pStyle w:val="Normal"/>
              <w:rPr>
                <w:sz w:val="28"/>
                <w:szCs w:val="28"/>
              </w:rPr>
            </w:pPr>
            <w:r>
              <w:rPr>
                <w:sz w:val="28"/>
                <w:szCs w:val="28"/>
              </w:rPr>
              <w:t>2018 год – 2250,6 тыс. руб.;</w:t>
            </w:r>
          </w:p>
          <w:p>
            <w:pPr>
              <w:pStyle w:val="Normal"/>
              <w:rPr>
                <w:sz w:val="28"/>
                <w:szCs w:val="28"/>
              </w:rPr>
            </w:pPr>
            <w:r>
              <w:rPr>
                <w:sz w:val="28"/>
                <w:szCs w:val="28"/>
              </w:rPr>
              <w:t>2019 год – 2483,7 тыс. руб.;</w:t>
            </w:r>
          </w:p>
          <w:p>
            <w:pPr>
              <w:pStyle w:val="Normal"/>
              <w:rPr>
                <w:sz w:val="28"/>
                <w:szCs w:val="28"/>
              </w:rPr>
            </w:pPr>
            <w:r>
              <w:rPr>
                <w:sz w:val="28"/>
                <w:szCs w:val="28"/>
              </w:rPr>
              <w:t>2020 год – 2537,4 тыс. руб.;</w:t>
            </w:r>
            <w:bookmarkStart w:id="39" w:name="OLE_LINK36"/>
            <w:bookmarkStart w:id="40" w:name="OLE_LINK37"/>
            <w:bookmarkEnd w:id="39"/>
            <w:bookmarkEnd w:id="40"/>
          </w:p>
          <w:p>
            <w:pPr>
              <w:pStyle w:val="Normal"/>
              <w:rPr>
                <w:sz w:val="28"/>
                <w:szCs w:val="28"/>
              </w:rPr>
            </w:pPr>
            <w:r>
              <w:rPr>
                <w:sz w:val="28"/>
                <w:szCs w:val="28"/>
              </w:rPr>
              <w:t>2021 год – 2638,4 тыс. руб.;</w:t>
            </w:r>
          </w:p>
          <w:p>
            <w:pPr>
              <w:pStyle w:val="Normal"/>
              <w:rPr>
                <w:sz w:val="28"/>
                <w:szCs w:val="28"/>
              </w:rPr>
            </w:pPr>
            <w:r>
              <w:rPr>
                <w:sz w:val="28"/>
                <w:szCs w:val="28"/>
              </w:rPr>
              <w:t>2022 год – 2743,4 тыс. руб.;</w:t>
            </w:r>
          </w:p>
          <w:p>
            <w:pPr>
              <w:pStyle w:val="Normal"/>
              <w:rPr>
                <w:sz w:val="28"/>
                <w:szCs w:val="28"/>
              </w:rPr>
            </w:pPr>
            <w:r>
              <w:rPr>
                <w:sz w:val="28"/>
                <w:szCs w:val="28"/>
              </w:rPr>
              <w:t>2023 год – 2743,4 тыс. руб.;</w:t>
            </w:r>
          </w:p>
          <w:p>
            <w:pPr>
              <w:pStyle w:val="Normal"/>
              <w:rPr>
                <w:sz w:val="28"/>
                <w:szCs w:val="28"/>
              </w:rPr>
            </w:pPr>
            <w:r>
              <w:rPr>
                <w:sz w:val="28"/>
                <w:szCs w:val="28"/>
              </w:rPr>
              <w:t>2024 год – 2743,4 тыс. руб.</w:t>
            </w:r>
            <w:bookmarkStart w:id="41" w:name="OLE_LINK39"/>
            <w:bookmarkStart w:id="42" w:name="OLE_LINK40"/>
            <w:bookmarkEnd w:id="41"/>
            <w:bookmarkEnd w:id="42"/>
          </w:p>
          <w:p>
            <w:pPr>
              <w:pStyle w:val="Normal"/>
              <w:rPr>
                <w:sz w:val="28"/>
                <w:szCs w:val="28"/>
              </w:rPr>
            </w:pPr>
            <w:r>
              <w:rPr>
                <w:sz w:val="28"/>
                <w:szCs w:val="28"/>
              </w:rPr>
            </w:r>
          </w:p>
          <w:p>
            <w:pPr>
              <w:pStyle w:val="Normal"/>
              <w:rPr>
                <w:sz w:val="28"/>
                <w:szCs w:val="28"/>
              </w:rPr>
            </w:pPr>
            <w:r>
              <w:rPr>
                <w:sz w:val="28"/>
                <w:szCs w:val="28"/>
              </w:rPr>
              <w:t xml:space="preserve">Местный бюджет 22740,0 тыс. руб., </w:t>
            </w:r>
          </w:p>
          <w:p>
            <w:pPr>
              <w:pStyle w:val="Normal"/>
              <w:rPr>
                <w:sz w:val="28"/>
                <w:szCs w:val="28"/>
              </w:rPr>
            </w:pPr>
            <w:r>
              <w:rPr>
                <w:sz w:val="28"/>
                <w:szCs w:val="28"/>
              </w:rPr>
              <w:t>в том числе по годам реализации:</w:t>
            </w:r>
          </w:p>
          <w:p>
            <w:pPr>
              <w:pStyle w:val="Normal"/>
              <w:rPr>
                <w:sz w:val="28"/>
                <w:szCs w:val="28"/>
              </w:rPr>
            </w:pPr>
            <w:r>
              <w:rPr>
                <w:sz w:val="28"/>
                <w:szCs w:val="28"/>
              </w:rPr>
              <w:t>2016 год – 2376,8 тыс. руб.;</w:t>
            </w:r>
          </w:p>
          <w:p>
            <w:pPr>
              <w:pStyle w:val="Normal"/>
              <w:rPr>
                <w:sz w:val="28"/>
                <w:szCs w:val="28"/>
              </w:rPr>
            </w:pPr>
            <w:r>
              <w:rPr>
                <w:sz w:val="28"/>
                <w:szCs w:val="28"/>
              </w:rPr>
              <w:t>2017 год – 2223,0 тыс. руб.;</w:t>
            </w:r>
          </w:p>
          <w:p>
            <w:pPr>
              <w:pStyle w:val="Normal"/>
              <w:rPr>
                <w:sz w:val="28"/>
                <w:szCs w:val="28"/>
              </w:rPr>
            </w:pPr>
            <w:r>
              <w:rPr>
                <w:sz w:val="28"/>
                <w:szCs w:val="28"/>
              </w:rPr>
              <w:t>2018 год – 2250,6 тыс. руб.;</w:t>
            </w:r>
          </w:p>
          <w:p>
            <w:pPr>
              <w:pStyle w:val="Normal"/>
              <w:rPr>
                <w:sz w:val="28"/>
                <w:szCs w:val="28"/>
              </w:rPr>
            </w:pPr>
            <w:r>
              <w:rPr>
                <w:sz w:val="28"/>
                <w:szCs w:val="28"/>
              </w:rPr>
              <w:t>2019 год – 2483,7 тыс. руб.;</w:t>
            </w:r>
          </w:p>
          <w:p>
            <w:pPr>
              <w:pStyle w:val="Normal"/>
              <w:rPr>
                <w:sz w:val="28"/>
                <w:szCs w:val="28"/>
              </w:rPr>
            </w:pPr>
            <w:r>
              <w:rPr>
                <w:sz w:val="28"/>
                <w:szCs w:val="28"/>
              </w:rPr>
              <w:t>2020 год – 2537,4 тыс. руб.;</w:t>
            </w:r>
          </w:p>
          <w:p>
            <w:pPr>
              <w:pStyle w:val="Normal"/>
              <w:rPr>
                <w:sz w:val="28"/>
                <w:szCs w:val="28"/>
              </w:rPr>
            </w:pPr>
            <w:r>
              <w:rPr>
                <w:sz w:val="28"/>
                <w:szCs w:val="28"/>
              </w:rPr>
              <w:t>2021 год – 2638,4 тыс. руб.;</w:t>
            </w:r>
          </w:p>
          <w:p>
            <w:pPr>
              <w:pStyle w:val="Normal"/>
              <w:rPr>
                <w:sz w:val="28"/>
                <w:szCs w:val="28"/>
              </w:rPr>
            </w:pPr>
            <w:r>
              <w:rPr>
                <w:sz w:val="28"/>
                <w:szCs w:val="28"/>
              </w:rPr>
              <w:t>2022 год – 2743,4 тыс. руб.;</w:t>
            </w:r>
          </w:p>
          <w:p>
            <w:pPr>
              <w:pStyle w:val="Normal"/>
              <w:rPr>
                <w:sz w:val="28"/>
                <w:szCs w:val="28"/>
              </w:rPr>
            </w:pPr>
            <w:r>
              <w:rPr>
                <w:sz w:val="28"/>
                <w:szCs w:val="28"/>
              </w:rPr>
              <w:t>2023 год – 2743,4 тыс. руб.;</w:t>
            </w:r>
          </w:p>
          <w:p>
            <w:pPr>
              <w:pStyle w:val="Normal"/>
              <w:rPr>
                <w:sz w:val="28"/>
                <w:szCs w:val="28"/>
              </w:rPr>
            </w:pPr>
            <w:r>
              <w:rPr>
                <w:sz w:val="28"/>
                <w:szCs w:val="28"/>
              </w:rPr>
              <w:t>2024 год – 2743,4 тыс. руб.</w:t>
            </w:r>
          </w:p>
          <w:p>
            <w:pPr>
              <w:pStyle w:val="Normal"/>
              <w:rPr>
                <w:sz w:val="28"/>
                <w:szCs w:val="28"/>
              </w:rPr>
            </w:pPr>
            <w:r>
              <w:rPr>
                <w:sz w:val="28"/>
                <w:szCs w:val="28"/>
              </w:rPr>
            </w:r>
          </w:p>
          <w:p>
            <w:pPr>
              <w:pStyle w:val="Normal"/>
              <w:widowControl w:val="false"/>
              <w:rPr>
                <w:sz w:val="28"/>
                <w:szCs w:val="28"/>
              </w:rPr>
            </w:pPr>
            <w:r>
              <w:rPr>
                <w:sz w:val="28"/>
                <w:szCs w:val="28"/>
              </w:rPr>
              <w:t>областной бюджет: 0,0 тыс. руб.,</w:t>
            </w:r>
            <w:bookmarkStart w:id="43" w:name="OLE_LINK47"/>
            <w:bookmarkEnd w:id="43"/>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 xml:space="preserve">2016 год </w:t>
            </w:r>
            <w:bookmarkStart w:id="44" w:name="OLE_LINK43"/>
            <w:bookmarkStart w:id="45" w:name="OLE_LINK44"/>
            <w:r>
              <w:rPr>
                <w:sz w:val="28"/>
                <w:szCs w:val="28"/>
              </w:rPr>
              <w:t xml:space="preserve">– </w:t>
            </w:r>
            <w:bookmarkStart w:id="46" w:name="OLE_LINK41"/>
            <w:bookmarkStart w:id="47" w:name="OLE_LINK42"/>
            <w:r>
              <w:rPr>
                <w:sz w:val="28"/>
                <w:szCs w:val="28"/>
              </w:rPr>
              <w:t>0,0 тыс. руб.;</w:t>
            </w:r>
            <w:bookmarkEnd w:id="44"/>
            <w:bookmarkEnd w:id="45"/>
            <w:bookmarkEnd w:id="46"/>
            <w:bookmarkEnd w:id="47"/>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bookmarkStart w:id="48" w:name="OLE_LINK45"/>
            <w:bookmarkStart w:id="49" w:name="OLE_LINK46"/>
            <w:bookmarkEnd w:id="48"/>
            <w:bookmarkEnd w:id="49"/>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50" w:name="OLE_LINK48"/>
            <w:bookmarkEnd w:id="50"/>
          </w:p>
          <w:p>
            <w:pPr>
              <w:pStyle w:val="Normal"/>
              <w:widowControl w:val="false"/>
              <w:rPr>
                <w:sz w:val="28"/>
                <w:szCs w:val="28"/>
              </w:rPr>
            </w:pPr>
            <w:r>
              <w:rPr>
                <w:sz w:val="28"/>
                <w:szCs w:val="28"/>
              </w:rPr>
            </w:r>
          </w:p>
          <w:p>
            <w:pPr>
              <w:pStyle w:val="Normal"/>
              <w:widowControl w:val="false"/>
              <w:rPr>
                <w:sz w:val="28"/>
                <w:szCs w:val="28"/>
              </w:rPr>
            </w:pPr>
            <w:r>
              <w:rPr>
                <w:sz w:val="28"/>
                <w:szCs w:val="28"/>
              </w:rPr>
              <w:t>федеральный бюджет: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51" w:name="OLE_LINK49"/>
            <w:bookmarkStart w:id="52" w:name="OLE_LINK50"/>
            <w:bookmarkEnd w:id="51"/>
            <w:bookmarkEnd w:id="52"/>
          </w:p>
          <w:p>
            <w:pPr>
              <w:pStyle w:val="Normal"/>
              <w:widowControl w:val="false"/>
              <w:rPr>
                <w:sz w:val="28"/>
                <w:szCs w:val="28"/>
              </w:rPr>
            </w:pPr>
            <w:r>
              <w:rPr>
                <w:sz w:val="28"/>
                <w:szCs w:val="28"/>
              </w:rPr>
            </w:r>
          </w:p>
          <w:p>
            <w:pPr>
              <w:pStyle w:val="Normal"/>
              <w:widowControl w:val="false"/>
              <w:rPr>
                <w:sz w:val="28"/>
                <w:szCs w:val="28"/>
              </w:rPr>
            </w:pPr>
            <w:r>
              <w:rPr>
                <w:sz w:val="28"/>
                <w:szCs w:val="28"/>
              </w:rPr>
              <w:t>внебюджетные источники: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tc>
      </w:tr>
    </w:tbl>
    <w:p>
      <w:pPr>
        <w:pStyle w:val="Normal"/>
        <w:jc w:val="center"/>
        <w:rPr>
          <w:sz w:val="28"/>
          <w:szCs w:val="28"/>
        </w:rPr>
      </w:pPr>
      <w:r>
        <w:rPr>
          <w:sz w:val="28"/>
          <w:szCs w:val="28"/>
        </w:rPr>
      </w:r>
    </w:p>
    <w:p>
      <w:pPr>
        <w:pStyle w:val="Normal"/>
        <w:jc w:val="center"/>
        <w:rPr>
          <w:sz w:val="28"/>
          <w:szCs w:val="28"/>
        </w:rPr>
      </w:pPr>
      <w:r>
        <w:rPr>
          <w:sz w:val="28"/>
          <w:szCs w:val="28"/>
        </w:rPr>
        <w:t xml:space="preserve">Характеристика и анализ текущего состояния развития </w:t>
      </w:r>
    </w:p>
    <w:p>
      <w:pPr>
        <w:pStyle w:val="Normal"/>
        <w:jc w:val="center"/>
        <w:rPr>
          <w:sz w:val="28"/>
          <w:szCs w:val="28"/>
        </w:rPr>
      </w:pPr>
      <w:r>
        <w:rPr>
          <w:sz w:val="28"/>
          <w:szCs w:val="28"/>
        </w:rPr>
        <w:t xml:space="preserve">информационного общества </w:t>
      </w:r>
    </w:p>
    <w:p>
      <w:pPr>
        <w:pStyle w:val="Normal"/>
        <w:jc w:val="center"/>
        <w:rPr>
          <w:sz w:val="28"/>
          <w:szCs w:val="28"/>
        </w:rPr>
      </w:pPr>
      <w:r>
        <w:rPr>
          <w:sz w:val="28"/>
          <w:szCs w:val="28"/>
        </w:rPr>
      </w:r>
    </w:p>
    <w:p>
      <w:pPr>
        <w:pStyle w:val="Normal"/>
        <w:ind w:firstLine="540"/>
        <w:jc w:val="both"/>
        <w:rPr>
          <w:sz w:val="28"/>
          <w:szCs w:val="28"/>
        </w:rPr>
      </w:pPr>
      <w:r>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pPr>
        <w:pStyle w:val="Normal"/>
        <w:ind w:firstLine="540"/>
        <w:jc w:val="both"/>
        <w:rPr>
          <w:sz w:val="28"/>
          <w:szCs w:val="28"/>
        </w:rPr>
      </w:pPr>
      <w:r>
        <w:rPr>
          <w:sz w:val="28"/>
          <w:szCs w:val="28"/>
        </w:rPr>
        <w:t xml:space="preserve">«Информационные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 - говорится в Стратегии развития информационного общества в Российской Федерации на 2017-2030 годы, утвержденной Указом Президента Российской Федерации </w:t>
        <w:br/>
        <w:t>от 09.05.2017 № 203.</w:t>
      </w:r>
    </w:p>
    <w:p>
      <w:pPr>
        <w:pStyle w:val="Normal"/>
        <w:ind w:firstLine="540"/>
        <w:jc w:val="both"/>
        <w:rPr>
          <w:sz w:val="28"/>
          <w:szCs w:val="28"/>
        </w:rPr>
      </w:pPr>
      <w:r>
        <w:rPr>
          <w:sz w:val="28"/>
          <w:szCs w:val="28"/>
        </w:rPr>
        <w:t>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городского округа ЗАТО Свободный обеспечения доступа к ним, а также обеспечения защиты информации предусмотрена подпрограмма «Развитие информационного общества».</w:t>
      </w:r>
    </w:p>
    <w:p>
      <w:pPr>
        <w:pStyle w:val="13"/>
        <w:ind w:firstLine="567"/>
        <w:jc w:val="both"/>
        <w:rPr>
          <w:rFonts w:ascii="Times New Roman" w:hAnsi="Times New Roman" w:cs="Times New Roman"/>
          <w:sz w:val="28"/>
          <w:szCs w:val="28"/>
        </w:rPr>
      </w:pPr>
      <w:r>
        <w:rPr>
          <w:rFonts w:cs="Times New Roman" w:ascii="Times New Roman" w:hAnsi="Times New Roman"/>
          <w:sz w:val="28"/>
          <w:szCs w:val="28"/>
        </w:rPr>
        <w:t>В настоящее время создаются необходимые технологические и организационные предпосылки для совершенствования работы  администрации городского округа ЗАТО Свободный, муниципальных предприятий и учреждений на основе широкомасштабного использования информационно-коммуникационных технологий.</w:t>
      </w:r>
    </w:p>
    <w:p>
      <w:pPr>
        <w:pStyle w:val="13"/>
        <w:ind w:firstLine="567"/>
        <w:jc w:val="both"/>
        <w:rPr>
          <w:rFonts w:ascii="Times New Roman" w:hAnsi="Times New Roman" w:cs="Times New Roman"/>
          <w:sz w:val="28"/>
          <w:szCs w:val="28"/>
        </w:rPr>
      </w:pPr>
      <w:r>
        <w:rPr>
          <w:rFonts w:cs="Times New Roman" w:ascii="Times New Roman" w:hAnsi="Times New Roman"/>
          <w:sz w:val="28"/>
          <w:szCs w:val="28"/>
        </w:rPr>
        <w:t>Для выполнения поставленных задач администрация городского округа ЗАТО Свободный подключена к единой сети передачи данных Правительства Свердловской области, создан и устойчиво функционируют официальный сайт администрации городского округа ЗАТО Свободный, а также еженедельно издается газета «Свободные вести», в которых публикуется информация о деятельности органов местного самоуправления городского округа, о важнейших событиях и мероприятиях проводимых в городском округе.</w:t>
      </w:r>
    </w:p>
    <w:p>
      <w:pPr>
        <w:pStyle w:val="13"/>
        <w:ind w:firstLine="567"/>
        <w:jc w:val="both"/>
        <w:rPr>
          <w:rFonts w:ascii="Times New Roman" w:hAnsi="Times New Roman" w:cs="Times New Roman"/>
          <w:sz w:val="28"/>
          <w:szCs w:val="28"/>
        </w:rPr>
      </w:pPr>
      <w:r>
        <w:rPr>
          <w:rFonts w:cs="Times New Roman" w:ascii="Times New Roman" w:hAnsi="Times New Roman"/>
          <w:sz w:val="28"/>
          <w:szCs w:val="28"/>
        </w:rPr>
        <w:t>На сайте размещается информация в соответствии с законодательством Российской Федерации и нормативно правовыми актами органов местного самоуправления городского округа ЗАТО Свободный.</w:t>
      </w:r>
    </w:p>
    <w:p>
      <w:pPr>
        <w:pStyle w:val="Normal"/>
        <w:widowControl w:val="false"/>
        <w:ind w:firstLine="540"/>
        <w:jc w:val="both"/>
        <w:rPr>
          <w:sz w:val="28"/>
          <w:szCs w:val="28"/>
        </w:rPr>
      </w:pPr>
      <w:r>
        <w:rPr>
          <w:sz w:val="28"/>
          <w:szCs w:val="28"/>
        </w:rPr>
        <w:t>Функционирует Интернет-приемная, посредством которой граждане могут высказать свое мнение относительно городских проблем или обратиться с вопросом и получить квалифицированный ответ, ознакомиться с другими часто задаваемыми вопросами и ответами на них. Администрация должна стремиться, чтобы официальный сайт стал одним из самых востребованных Интернет-ресурсов для жителей городского округа. Продолжается работа по переходу предоставления муниципальных услуг в электронном виде. Для обеспечения предоставления государственных и муниципальных услуг, в том числе в электронном виде, ведется работа по организации электронного межведомственного взаимодействия.</w:t>
      </w:r>
    </w:p>
    <w:p>
      <w:pPr>
        <w:pStyle w:val="Normal"/>
        <w:widowControl w:val="false"/>
        <w:ind w:firstLine="540"/>
        <w:jc w:val="both"/>
        <w:rPr>
          <w:sz w:val="28"/>
          <w:szCs w:val="28"/>
        </w:rPr>
      </w:pPr>
      <w:r>
        <w:rPr>
          <w:sz w:val="28"/>
          <w:szCs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pPr>
        <w:pStyle w:val="Normal"/>
        <w:widowControl w:val="false"/>
        <w:ind w:firstLine="540"/>
        <w:jc w:val="both"/>
        <w:rPr>
          <w:sz w:val="28"/>
          <w:szCs w:val="28"/>
        </w:rPr>
      </w:pPr>
      <w:r>
        <w:rPr>
          <w:sz w:val="28"/>
          <w:szCs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pPr>
        <w:pStyle w:val="Normal"/>
        <w:widowControl w:val="false"/>
        <w:ind w:firstLine="540"/>
        <w:jc w:val="both"/>
        <w:rPr>
          <w:sz w:val="28"/>
          <w:szCs w:val="28"/>
        </w:rPr>
      </w:pPr>
      <w:r>
        <w:rPr>
          <w:sz w:val="28"/>
          <w:szCs w:val="28"/>
        </w:rPr>
        <w:t>Функционирует сайт городского округа, на нем размещается информация о социально значимых событиях, происходящих на территории городского округа ЗАТО Свободный, об экономической, культурной, общественной жизни городского округа ЗАТО Свободный.</w:t>
      </w:r>
    </w:p>
    <w:p>
      <w:pPr>
        <w:pStyle w:val="Normal"/>
        <w:ind w:left="4320" w:hanging="3960"/>
        <w:jc w:val="both"/>
        <w:rPr>
          <w:sz w:val="28"/>
          <w:szCs w:val="20"/>
        </w:rPr>
      </w:pPr>
      <w:r>
        <w:rPr>
          <w:sz w:val="28"/>
          <w:szCs w:val="20"/>
        </w:rPr>
      </w:r>
    </w:p>
    <w:p>
      <w:pPr>
        <w:pStyle w:val="Normal"/>
        <w:spacing w:lineRule="auto" w:line="276" w:before="0" w:after="200"/>
        <w:rPr>
          <w:b/>
          <w:b/>
          <w:sz w:val="20"/>
          <w:szCs w:val="20"/>
        </w:rPr>
      </w:pPr>
      <w:r>
        <w:rPr>
          <w:b/>
          <w:sz w:val="20"/>
          <w:szCs w:val="20"/>
        </w:rPr>
      </w:r>
      <w:r>
        <w:br w:type="page"/>
      </w:r>
    </w:p>
    <w:p>
      <w:pPr>
        <w:pStyle w:val="Normal"/>
        <w:widowControl w:val="false"/>
        <w:numPr>
          <w:ilvl w:val="0"/>
          <w:numId w:val="0"/>
        </w:numPr>
        <w:ind w:left="0" w:hanging="0"/>
        <w:jc w:val="center"/>
        <w:outlineLvl w:val="2"/>
        <w:rPr>
          <w:b/>
          <w:b/>
          <w:sz w:val="28"/>
          <w:szCs w:val="28"/>
        </w:rPr>
      </w:pPr>
      <w:r>
        <w:rPr>
          <w:b/>
          <w:sz w:val="28"/>
          <w:szCs w:val="28"/>
        </w:rPr>
        <w:t>ПОДПРОГРАММА 4:«Создание условий для обеспечения выполнения функций органами местного самоуправления»</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ПАСПОРТ</w:t>
      </w:r>
    </w:p>
    <w:p>
      <w:pPr>
        <w:pStyle w:val="Normal"/>
        <w:widowControl w:val="false"/>
        <w:jc w:val="center"/>
        <w:rPr>
          <w:sz w:val="28"/>
          <w:szCs w:val="28"/>
        </w:rPr>
      </w:pPr>
      <w:r>
        <w:rPr>
          <w:sz w:val="28"/>
          <w:szCs w:val="28"/>
        </w:rPr>
        <w:t>подпрограммы «Создание условий для обеспечения выполнения функций органами местного самоуправления»</w:t>
      </w:r>
    </w:p>
    <w:p>
      <w:pPr>
        <w:pStyle w:val="Normal"/>
        <w:widowControl w:val="false"/>
        <w:jc w:val="both"/>
        <w:rPr>
          <w:sz w:val="28"/>
          <w:szCs w:val="28"/>
        </w:rPr>
      </w:pPr>
      <w:r>
        <w:rPr>
          <w:sz w:val="28"/>
          <w:szCs w:val="28"/>
        </w:rPr>
      </w:r>
    </w:p>
    <w:tbl>
      <w:tblPr>
        <w:tblW w:w="9640" w:type="dxa"/>
        <w:jc w:val="left"/>
        <w:tblInd w:w="-67" w:type="dxa"/>
        <w:tblCellMar>
          <w:top w:w="0" w:type="dxa"/>
          <w:left w:w="75" w:type="dxa"/>
          <w:bottom w:w="0" w:type="dxa"/>
          <w:right w:w="75" w:type="dxa"/>
        </w:tblCellMar>
        <w:tblLook w:firstRow="1" w:noVBand="1" w:lastRow="0" w:firstColumn="1" w:lastColumn="0" w:noHBand="0" w:val="04a0"/>
      </w:tblPr>
      <w:tblGrid>
        <w:gridCol w:w="4537"/>
        <w:gridCol w:w="5102"/>
      </w:tblGrid>
      <w:tr>
        <w:trPr>
          <w:trHeight w:val="40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Ответственный исполнитель </w:t>
            </w:r>
          </w:p>
          <w:p>
            <w:pPr>
              <w:pStyle w:val="Normal"/>
              <w:widowControl w:val="false"/>
              <w:rPr>
                <w:sz w:val="28"/>
                <w:szCs w:val="28"/>
              </w:rPr>
            </w:pPr>
            <w:r>
              <w:rPr>
                <w:sz w:val="28"/>
                <w:szCs w:val="28"/>
              </w:rPr>
              <w:t xml:space="preserve">подпрограммы </w:t>
            </w:r>
          </w:p>
        </w:tc>
        <w:tc>
          <w:tcPr>
            <w:tcW w:w="510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 xml:space="preserve">Администрация городского округа </w:t>
            </w:r>
          </w:p>
          <w:p>
            <w:pPr>
              <w:pStyle w:val="Normal"/>
              <w:widowControl w:val="false"/>
              <w:jc w:val="both"/>
              <w:rPr>
                <w:sz w:val="28"/>
                <w:szCs w:val="28"/>
              </w:rPr>
            </w:pPr>
            <w:r>
              <w:rPr>
                <w:sz w:val="28"/>
                <w:szCs w:val="28"/>
              </w:rPr>
              <w:t>ЗАТО Свободный</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Соисполнители подпрограммы:</w:t>
            </w:r>
          </w:p>
          <w:p>
            <w:pPr>
              <w:pStyle w:val="Normal"/>
              <w:jc w:val="both"/>
              <w:rPr>
                <w:sz w:val="28"/>
                <w:szCs w:val="28"/>
              </w:rPr>
            </w:pPr>
            <w:r>
              <w:rPr>
                <w:sz w:val="28"/>
                <w:szCs w:val="28"/>
              </w:rPr>
              <w:t xml:space="preserve">1. Администрация городского округа </w:t>
            </w:r>
          </w:p>
          <w:p>
            <w:pPr>
              <w:pStyle w:val="Normal"/>
              <w:jc w:val="both"/>
              <w:rPr>
                <w:sz w:val="28"/>
                <w:szCs w:val="28"/>
              </w:rPr>
            </w:pPr>
            <w:r>
              <w:rPr>
                <w:sz w:val="28"/>
                <w:szCs w:val="28"/>
              </w:rPr>
              <w:t>ЗАТО Свободный.</w:t>
            </w:r>
          </w:p>
          <w:p>
            <w:pPr>
              <w:pStyle w:val="Normal"/>
              <w:jc w:val="both"/>
              <w:rPr>
                <w:sz w:val="28"/>
                <w:szCs w:val="28"/>
              </w:rPr>
            </w:pPr>
            <w:r>
              <w:rPr>
                <w:sz w:val="28"/>
                <w:szCs w:val="28"/>
              </w:rPr>
              <w:t>2. Дума городского округа ЗАТО Свободный.</w:t>
            </w:r>
          </w:p>
          <w:p>
            <w:pPr>
              <w:pStyle w:val="Normal"/>
              <w:widowControl w:val="false"/>
              <w:jc w:val="both"/>
              <w:rPr>
                <w:sz w:val="28"/>
                <w:szCs w:val="28"/>
              </w:rPr>
            </w:pPr>
            <w:r>
              <w:rPr>
                <w:sz w:val="28"/>
                <w:szCs w:val="28"/>
              </w:rPr>
              <w:t>3. Контрольный орган городского округа ЗАТО Свободный.</w:t>
            </w:r>
          </w:p>
          <w:p>
            <w:pPr>
              <w:pStyle w:val="Normal"/>
              <w:widowControl w:val="false"/>
              <w:jc w:val="both"/>
              <w:rPr>
                <w:sz w:val="28"/>
                <w:szCs w:val="28"/>
              </w:rPr>
            </w:pPr>
            <w:r>
              <w:rPr>
                <w:sz w:val="28"/>
                <w:szCs w:val="28"/>
              </w:rPr>
              <w:t xml:space="preserve">4. </w:t>
            </w:r>
            <w:bookmarkStart w:id="53" w:name="OLE_LINK73"/>
            <w:r>
              <w:rPr>
                <w:sz w:val="28"/>
                <w:szCs w:val="28"/>
              </w:rPr>
              <w:t xml:space="preserve">Муниципальное казенное учреждение </w:t>
            </w:r>
            <w:bookmarkEnd w:id="53"/>
            <w:r>
              <w:rPr>
                <w:sz w:val="28"/>
                <w:szCs w:val="28"/>
              </w:rPr>
              <w:t>«Административная хозяйственная служба».</w:t>
            </w:r>
          </w:p>
          <w:p>
            <w:pPr>
              <w:pStyle w:val="Normal"/>
              <w:widowControl w:val="false"/>
              <w:jc w:val="both"/>
              <w:rPr>
                <w:sz w:val="28"/>
                <w:szCs w:val="28"/>
              </w:rPr>
            </w:pPr>
            <w:r>
              <w:rPr>
                <w:sz w:val="28"/>
                <w:szCs w:val="28"/>
              </w:rPr>
              <w:t>5. Муниципальное казенное учреждение «Служба муниципального заказа».</w:t>
            </w:r>
          </w:p>
          <w:p>
            <w:pPr>
              <w:pStyle w:val="Normal"/>
              <w:widowControl w:val="false"/>
              <w:jc w:val="both"/>
              <w:rPr>
                <w:sz w:val="28"/>
                <w:szCs w:val="28"/>
              </w:rPr>
            </w:pPr>
            <w:r>
              <w:rPr>
                <w:sz w:val="28"/>
                <w:szCs w:val="28"/>
              </w:rPr>
              <w:t>6. Физические и юридические лица, оказывающие поставку товаров, выполнение работ и (или) оказание услуг.</w:t>
            </w:r>
          </w:p>
        </w:tc>
      </w:tr>
      <w:tr>
        <w:trPr>
          <w:trHeight w:val="40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Сроки реализации подпрограммы </w:t>
            </w:r>
          </w:p>
        </w:tc>
        <w:tc>
          <w:tcPr>
            <w:tcW w:w="510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2016-2024 годы</w:t>
            </w:r>
          </w:p>
        </w:tc>
      </w:tr>
      <w:tr>
        <w:trPr>
          <w:trHeight w:val="40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Цели и задачи подпрограммы </w:t>
            </w:r>
          </w:p>
        </w:tc>
        <w:tc>
          <w:tcPr>
            <w:tcW w:w="510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Цель: Повышение эффективности муниципального управления</w:t>
            </w:r>
          </w:p>
          <w:p>
            <w:pPr>
              <w:pStyle w:val="ConsPlusNormal1"/>
              <w:widowControl/>
              <w:ind w:hanging="36"/>
              <w:jc w:val="both"/>
              <w:rPr>
                <w:rFonts w:ascii="Times New Roman" w:hAnsi="Times New Roman" w:cs="Times New Roman"/>
                <w:sz w:val="28"/>
                <w:szCs w:val="28"/>
              </w:rPr>
            </w:pPr>
            <w:r>
              <w:rPr>
                <w:rFonts w:cs="Times New Roman" w:ascii="Times New Roman" w:hAnsi="Times New Roman"/>
                <w:color w:val="333333"/>
                <w:sz w:val="28"/>
                <w:szCs w:val="28"/>
              </w:rPr>
              <w:t>Задачи:</w:t>
            </w:r>
          </w:p>
          <w:p>
            <w:pPr>
              <w:pStyle w:val="NoSpacing"/>
              <w:jc w:val="both"/>
              <w:rPr>
                <w:sz w:val="28"/>
                <w:szCs w:val="28"/>
              </w:rPr>
            </w:pPr>
            <w:r>
              <w:rPr>
                <w:sz w:val="28"/>
                <w:szCs w:val="28"/>
              </w:rPr>
              <w:t>1. Создание условий для повышения эффективности деятельности органов местного самоуправления.</w:t>
            </w:r>
          </w:p>
          <w:p>
            <w:pPr>
              <w:pStyle w:val="NoSpacing"/>
              <w:jc w:val="both"/>
              <w:rPr>
                <w:sz w:val="28"/>
                <w:szCs w:val="28"/>
              </w:rPr>
            </w:pPr>
            <w:r>
              <w:rPr>
                <w:sz w:val="28"/>
                <w:szCs w:val="28"/>
              </w:rPr>
              <w:t>2. Создание условий для развития кадрового потенциала.</w:t>
            </w:r>
          </w:p>
        </w:tc>
      </w:tr>
      <w:tr>
        <w:trPr>
          <w:trHeight w:val="60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Перечень целевыхпоказателейподпрограммы</w:t>
            </w:r>
          </w:p>
        </w:tc>
        <w:tc>
          <w:tcPr>
            <w:tcW w:w="5102" w:type="dxa"/>
            <w:tcBorders>
              <w:top w:val="single" w:sz="8" w:space="0" w:color="000000"/>
              <w:left w:val="single" w:sz="8" w:space="0" w:color="000000"/>
              <w:bottom w:val="single" w:sz="8" w:space="0" w:color="000000"/>
              <w:right w:val="single" w:sz="8" w:space="0" w:color="000000"/>
            </w:tcBorders>
          </w:tcPr>
          <w:p>
            <w:pPr>
              <w:pStyle w:val="NoSpacing"/>
              <w:jc w:val="both"/>
              <w:rPr>
                <w:sz w:val="28"/>
                <w:szCs w:val="28"/>
              </w:rPr>
            </w:pPr>
            <w:r>
              <w:rPr>
                <w:sz w:val="28"/>
                <w:szCs w:val="28"/>
              </w:rPr>
              <w:t>1. Доля населения, удовлетворенного деятельностью органов местного самоуправления.</w:t>
            </w:r>
          </w:p>
          <w:p>
            <w:pPr>
              <w:pStyle w:val="Normal"/>
              <w:jc w:val="both"/>
              <w:rPr>
                <w:sz w:val="28"/>
                <w:szCs w:val="28"/>
              </w:rPr>
            </w:pPr>
            <w:r>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pPr>
              <w:pStyle w:val="Normal"/>
              <w:jc w:val="both"/>
              <w:rPr>
                <w:sz w:val="28"/>
                <w:szCs w:val="28"/>
              </w:rPr>
            </w:pPr>
            <w:r>
              <w:rPr>
                <w:sz w:val="28"/>
                <w:szCs w:val="28"/>
              </w:rPr>
              <w:t>3. Количество выборных должностных лиц и муниципальных служащих органов местного самоуправления, получивших дополнительное профессиональное образование.</w:t>
            </w:r>
          </w:p>
        </w:tc>
      </w:tr>
      <w:tr>
        <w:trPr>
          <w:trHeight w:val="831"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Объемы финансирования подпрограммы </w:t>
            </w:r>
          </w:p>
          <w:p>
            <w:pPr>
              <w:pStyle w:val="Normal"/>
              <w:widowControl w:val="false"/>
              <w:rPr>
                <w:sz w:val="28"/>
                <w:szCs w:val="28"/>
              </w:rPr>
            </w:pPr>
            <w:r>
              <w:rPr>
                <w:sz w:val="28"/>
                <w:szCs w:val="28"/>
              </w:rPr>
              <w:t xml:space="preserve">по годам реализации, тыс. рублей </w:t>
            </w:r>
          </w:p>
        </w:tc>
        <w:tc>
          <w:tcPr>
            <w:tcW w:w="5102"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ВСЕГО: </w:t>
            </w:r>
            <w:r>
              <w:rPr>
                <w:rFonts w:eastAsia="Times New Roman" w:cs="Times New Roman"/>
                <w:color w:val="auto"/>
                <w:kern w:val="0"/>
                <w:sz w:val="28"/>
                <w:szCs w:val="28"/>
                <w:lang w:val="ru-RU" w:eastAsia="ru-RU" w:bidi="ar-SA"/>
              </w:rPr>
              <w:t>17812,8</w:t>
            </w:r>
            <w:bookmarkStart w:id="54" w:name="OLE_LINK53"/>
            <w:r>
              <w:rPr>
                <w:sz w:val="28"/>
                <w:szCs w:val="28"/>
              </w:rPr>
              <w:t xml:space="preserve"> </w:t>
            </w:r>
            <w:bookmarkEnd w:id="54"/>
            <w:r>
              <w:rPr>
                <w:sz w:val="28"/>
                <w:szCs w:val="28"/>
              </w:rPr>
              <w:t>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14393,8 тыс. руб.;</w:t>
            </w:r>
          </w:p>
          <w:p>
            <w:pPr>
              <w:pStyle w:val="Normal"/>
              <w:widowControl w:val="false"/>
              <w:rPr>
                <w:sz w:val="28"/>
                <w:szCs w:val="28"/>
              </w:rPr>
            </w:pPr>
            <w:r>
              <w:rPr>
                <w:sz w:val="28"/>
                <w:szCs w:val="28"/>
              </w:rPr>
              <w:t>2017 год – 20568,4 тыс. руб.;</w:t>
            </w:r>
          </w:p>
          <w:p>
            <w:pPr>
              <w:pStyle w:val="Normal"/>
              <w:widowControl w:val="false"/>
              <w:rPr>
                <w:sz w:val="28"/>
                <w:szCs w:val="28"/>
              </w:rPr>
            </w:pPr>
            <w:r>
              <w:rPr>
                <w:sz w:val="28"/>
                <w:szCs w:val="28"/>
              </w:rPr>
              <w:t>2018 год – 20413,5 тыс. руб.;</w:t>
            </w:r>
          </w:p>
          <w:p>
            <w:pPr>
              <w:pStyle w:val="Normal"/>
              <w:widowControl w:val="false"/>
              <w:rPr>
                <w:sz w:val="28"/>
                <w:szCs w:val="28"/>
              </w:rPr>
            </w:pPr>
            <w:r>
              <w:rPr>
                <w:sz w:val="28"/>
                <w:szCs w:val="28"/>
              </w:rPr>
              <w:t>2019 год – 18690,0 тыс. руб.;</w:t>
            </w:r>
          </w:p>
          <w:p>
            <w:pPr>
              <w:pStyle w:val="Normal"/>
              <w:widowControl w:val="false"/>
              <w:rPr>
                <w:sz w:val="28"/>
                <w:szCs w:val="28"/>
              </w:rPr>
            </w:pPr>
            <w:r>
              <w:rPr>
                <w:sz w:val="28"/>
                <w:szCs w:val="28"/>
              </w:rPr>
              <w:t xml:space="preserve">2020 год – </w:t>
            </w:r>
            <w:r>
              <w:rPr>
                <w:rFonts w:eastAsia="Times New Roman" w:cs="Times New Roman"/>
                <w:color w:val="auto"/>
                <w:kern w:val="0"/>
                <w:sz w:val="28"/>
                <w:szCs w:val="28"/>
                <w:lang w:val="ru-RU" w:eastAsia="ru-RU" w:bidi="ar-SA"/>
              </w:rPr>
              <w:t>24959,4</w:t>
            </w:r>
            <w:r>
              <w:rPr>
                <w:sz w:val="28"/>
                <w:szCs w:val="28"/>
              </w:rPr>
              <w:t xml:space="preserve"> тыс. руб.;</w:t>
            </w:r>
            <w:bookmarkStart w:id="55" w:name="OLE_LINK51"/>
            <w:bookmarkStart w:id="56" w:name="OLE_LINK52"/>
            <w:bookmarkEnd w:id="55"/>
            <w:bookmarkEnd w:id="56"/>
          </w:p>
          <w:p>
            <w:pPr>
              <w:pStyle w:val="Normal"/>
              <w:widowControl w:val="false"/>
              <w:rPr>
                <w:sz w:val="28"/>
                <w:szCs w:val="28"/>
              </w:rPr>
            </w:pPr>
            <w:r>
              <w:rPr>
                <w:sz w:val="28"/>
                <w:szCs w:val="28"/>
              </w:rPr>
              <w:t>2021 год – 21716,4тыс. руб.;</w:t>
            </w:r>
          </w:p>
          <w:p>
            <w:pPr>
              <w:pStyle w:val="Normal"/>
              <w:widowControl w:val="false"/>
              <w:rPr>
                <w:sz w:val="28"/>
                <w:szCs w:val="28"/>
              </w:rPr>
            </w:pPr>
            <w:r>
              <w:rPr>
                <w:sz w:val="28"/>
                <w:szCs w:val="28"/>
              </w:rPr>
              <w:t>2020 год – 22190,4 тыс. руб.;</w:t>
            </w:r>
          </w:p>
          <w:p>
            <w:pPr>
              <w:pStyle w:val="Normal"/>
              <w:widowControl w:val="false"/>
              <w:rPr>
                <w:sz w:val="28"/>
                <w:szCs w:val="28"/>
              </w:rPr>
            </w:pPr>
            <w:r>
              <w:rPr>
                <w:sz w:val="28"/>
                <w:szCs w:val="28"/>
              </w:rPr>
              <w:t>2020 год – 22190,4 тыс. руб.;</w:t>
            </w:r>
          </w:p>
          <w:p>
            <w:pPr>
              <w:pStyle w:val="Normal"/>
              <w:widowControl w:val="false"/>
              <w:rPr>
                <w:sz w:val="28"/>
                <w:szCs w:val="28"/>
              </w:rPr>
            </w:pPr>
            <w:r>
              <w:rPr>
                <w:sz w:val="28"/>
                <w:szCs w:val="28"/>
              </w:rPr>
              <w:t>2020 год – 22190,4 тыс. руб.</w:t>
            </w:r>
            <w:bookmarkStart w:id="57" w:name="OLE_LINK54"/>
            <w:bookmarkEnd w:id="57"/>
          </w:p>
          <w:p>
            <w:pPr>
              <w:pStyle w:val="Normal"/>
              <w:widowControl w:val="false"/>
              <w:rPr>
                <w:sz w:val="28"/>
                <w:szCs w:val="28"/>
              </w:rPr>
            </w:pPr>
            <w:r>
              <w:rPr>
                <w:sz w:val="28"/>
                <w:szCs w:val="28"/>
              </w:rPr>
            </w:r>
          </w:p>
          <w:p>
            <w:pPr>
              <w:pStyle w:val="Normal"/>
              <w:widowControl w:val="false"/>
              <w:rPr>
                <w:sz w:val="28"/>
                <w:szCs w:val="28"/>
              </w:rPr>
            </w:pPr>
            <w:r>
              <w:rPr>
                <w:sz w:val="28"/>
                <w:szCs w:val="28"/>
              </w:rPr>
              <w:t>из них:</w:t>
            </w:r>
          </w:p>
          <w:p>
            <w:pPr>
              <w:pStyle w:val="Normal"/>
              <w:widowControl w:val="false"/>
              <w:rPr>
                <w:sz w:val="28"/>
                <w:szCs w:val="28"/>
              </w:rPr>
            </w:pPr>
            <w:r>
              <w:rPr>
                <w:sz w:val="28"/>
                <w:szCs w:val="28"/>
              </w:rPr>
              <w:t xml:space="preserve">местный бюджет: </w:t>
            </w:r>
            <w:r>
              <w:rPr>
                <w:rFonts w:eastAsia="Times New Roman" w:cs="Times New Roman"/>
                <w:color w:val="auto"/>
                <w:kern w:val="0"/>
                <w:sz w:val="28"/>
                <w:szCs w:val="28"/>
                <w:lang w:val="ru-RU" w:eastAsia="ru-RU" w:bidi="ar-SA"/>
              </w:rPr>
              <w:t>187312,8</w:t>
            </w:r>
            <w:r>
              <w:rPr>
                <w:sz w:val="28"/>
                <w:szCs w:val="28"/>
              </w:rPr>
              <w:t xml:space="preserve">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14393,8 тыс. руб.;</w:t>
            </w:r>
          </w:p>
          <w:p>
            <w:pPr>
              <w:pStyle w:val="Normal"/>
              <w:widowControl w:val="false"/>
              <w:rPr>
                <w:sz w:val="28"/>
                <w:szCs w:val="28"/>
              </w:rPr>
            </w:pPr>
            <w:r>
              <w:rPr>
                <w:sz w:val="28"/>
                <w:szCs w:val="28"/>
              </w:rPr>
              <w:t>2017 год – 20568,4 тыс. руб.;</w:t>
            </w:r>
          </w:p>
          <w:p>
            <w:pPr>
              <w:pStyle w:val="Normal"/>
              <w:widowControl w:val="false"/>
              <w:rPr>
                <w:sz w:val="28"/>
                <w:szCs w:val="28"/>
              </w:rPr>
            </w:pPr>
            <w:r>
              <w:rPr>
                <w:sz w:val="28"/>
                <w:szCs w:val="28"/>
              </w:rPr>
              <w:t>2018 год – 20413,5 тыс. руб.;</w:t>
            </w:r>
          </w:p>
          <w:p>
            <w:pPr>
              <w:pStyle w:val="Normal"/>
              <w:widowControl w:val="false"/>
              <w:rPr>
                <w:sz w:val="28"/>
                <w:szCs w:val="28"/>
              </w:rPr>
            </w:pPr>
            <w:r>
              <w:rPr>
                <w:sz w:val="28"/>
                <w:szCs w:val="28"/>
              </w:rPr>
              <w:t>2019 год – 18690,0 тыс. руб.;</w:t>
            </w:r>
          </w:p>
          <w:p>
            <w:pPr>
              <w:pStyle w:val="Normal"/>
              <w:widowControl w:val="false"/>
              <w:rPr>
                <w:sz w:val="28"/>
                <w:szCs w:val="28"/>
              </w:rPr>
            </w:pPr>
            <w:r>
              <w:rPr>
                <w:sz w:val="28"/>
                <w:szCs w:val="28"/>
              </w:rPr>
              <w:t xml:space="preserve">2020 год – </w:t>
            </w:r>
            <w:r>
              <w:rPr>
                <w:rFonts w:eastAsia="Times New Roman" w:cs="Times New Roman"/>
                <w:color w:val="auto"/>
                <w:kern w:val="0"/>
                <w:sz w:val="28"/>
                <w:szCs w:val="28"/>
                <w:lang w:val="ru-RU" w:eastAsia="ru-RU" w:bidi="ar-SA"/>
              </w:rPr>
              <w:t>24959,1</w:t>
            </w:r>
            <w:r>
              <w:rPr>
                <w:sz w:val="28"/>
                <w:szCs w:val="28"/>
              </w:rPr>
              <w:t xml:space="preserve"> тыс. руб.;</w:t>
            </w:r>
          </w:p>
          <w:p>
            <w:pPr>
              <w:pStyle w:val="Normal"/>
              <w:widowControl w:val="false"/>
              <w:rPr>
                <w:sz w:val="28"/>
                <w:szCs w:val="28"/>
              </w:rPr>
            </w:pPr>
            <w:r>
              <w:rPr>
                <w:sz w:val="28"/>
                <w:szCs w:val="28"/>
              </w:rPr>
              <w:t>2021 год – 21716,4 тыс. руб.;</w:t>
            </w:r>
          </w:p>
          <w:p>
            <w:pPr>
              <w:pStyle w:val="Normal"/>
              <w:widowControl w:val="false"/>
              <w:rPr>
                <w:sz w:val="28"/>
                <w:szCs w:val="28"/>
              </w:rPr>
            </w:pPr>
            <w:r>
              <w:rPr>
                <w:sz w:val="28"/>
                <w:szCs w:val="28"/>
              </w:rPr>
              <w:t>2020 год – 22190,4 тыс. руб.;</w:t>
            </w:r>
          </w:p>
          <w:p>
            <w:pPr>
              <w:pStyle w:val="Normal"/>
              <w:widowControl w:val="false"/>
              <w:rPr>
                <w:sz w:val="28"/>
                <w:szCs w:val="28"/>
              </w:rPr>
            </w:pPr>
            <w:r>
              <w:rPr>
                <w:sz w:val="28"/>
                <w:szCs w:val="28"/>
              </w:rPr>
              <w:t>2020 год – 22190,4 тыс. руб.;</w:t>
            </w:r>
          </w:p>
          <w:p>
            <w:pPr>
              <w:pStyle w:val="Normal"/>
              <w:widowControl w:val="false"/>
              <w:rPr>
                <w:sz w:val="28"/>
                <w:szCs w:val="28"/>
              </w:rPr>
            </w:pPr>
            <w:r>
              <w:rPr>
                <w:sz w:val="28"/>
                <w:szCs w:val="28"/>
              </w:rPr>
              <w:t>2020 год – 22190,4 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областной бюджет: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bookmarkStart w:id="58" w:name="OLE_LINK55"/>
            <w:bookmarkStart w:id="59" w:name="OLE_LINK56"/>
            <w:bookmarkEnd w:id="58"/>
            <w:bookmarkEnd w:id="59"/>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bookmarkStart w:id="60" w:name="OLE_LINK57"/>
            <w:bookmarkStart w:id="61" w:name="OLE_LINK58"/>
            <w:bookmarkEnd w:id="60"/>
            <w:bookmarkEnd w:id="61"/>
          </w:p>
          <w:p>
            <w:pPr>
              <w:pStyle w:val="Normal"/>
              <w:widowControl w:val="false"/>
              <w:rPr>
                <w:sz w:val="28"/>
                <w:szCs w:val="28"/>
              </w:rPr>
            </w:pPr>
            <w:r>
              <w:rPr>
                <w:sz w:val="28"/>
                <w:szCs w:val="28"/>
              </w:rPr>
            </w:r>
          </w:p>
          <w:p>
            <w:pPr>
              <w:pStyle w:val="Normal"/>
              <w:widowControl w:val="false"/>
              <w:rPr>
                <w:sz w:val="28"/>
                <w:szCs w:val="28"/>
              </w:rPr>
            </w:pPr>
            <w:r>
              <w:rPr>
                <w:sz w:val="28"/>
                <w:szCs w:val="28"/>
              </w:rPr>
              <w:t>федеральный бюджет: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p>
            <w:pPr>
              <w:pStyle w:val="Normal"/>
              <w:widowControl w:val="false"/>
              <w:rPr>
                <w:sz w:val="28"/>
                <w:szCs w:val="28"/>
              </w:rPr>
            </w:pPr>
            <w:r>
              <w:rPr>
                <w:sz w:val="28"/>
                <w:szCs w:val="28"/>
              </w:rPr>
            </w:r>
          </w:p>
          <w:p>
            <w:pPr>
              <w:pStyle w:val="Normal"/>
              <w:widowControl w:val="false"/>
              <w:rPr>
                <w:sz w:val="28"/>
                <w:szCs w:val="28"/>
              </w:rPr>
            </w:pPr>
            <w:r>
              <w:rPr>
                <w:sz w:val="28"/>
                <w:szCs w:val="28"/>
              </w:rPr>
              <w:t>внебюджетные источники: 0,0 тыс. руб.,</w:t>
            </w:r>
          </w:p>
          <w:p>
            <w:pPr>
              <w:pStyle w:val="Normal"/>
              <w:widowControl w:val="false"/>
              <w:rPr>
                <w:sz w:val="28"/>
                <w:szCs w:val="28"/>
              </w:rPr>
            </w:pPr>
            <w:r>
              <w:rPr>
                <w:sz w:val="28"/>
                <w:szCs w:val="28"/>
              </w:rPr>
              <w:t>в том числе по годам реализации:</w:t>
            </w:r>
          </w:p>
          <w:p>
            <w:pPr>
              <w:pStyle w:val="Normal"/>
              <w:widowControl w:val="false"/>
              <w:rPr>
                <w:sz w:val="28"/>
                <w:szCs w:val="28"/>
              </w:rPr>
            </w:pPr>
            <w:r>
              <w:rPr>
                <w:sz w:val="28"/>
                <w:szCs w:val="28"/>
              </w:rPr>
              <w:t>2016 год – 0,0 тыс. руб.;</w:t>
            </w:r>
          </w:p>
          <w:p>
            <w:pPr>
              <w:pStyle w:val="Normal"/>
              <w:widowControl w:val="false"/>
              <w:rPr>
                <w:sz w:val="28"/>
                <w:szCs w:val="28"/>
              </w:rPr>
            </w:pPr>
            <w:r>
              <w:rPr>
                <w:sz w:val="28"/>
                <w:szCs w:val="28"/>
              </w:rPr>
              <w:t>2017 год - 0,0 тыс. руб.;</w:t>
            </w:r>
          </w:p>
          <w:p>
            <w:pPr>
              <w:pStyle w:val="Normal"/>
              <w:widowControl w:val="false"/>
              <w:rPr>
                <w:sz w:val="28"/>
                <w:szCs w:val="28"/>
              </w:rPr>
            </w:pPr>
            <w:r>
              <w:rPr>
                <w:sz w:val="28"/>
                <w:szCs w:val="28"/>
              </w:rPr>
              <w:t>2018 год – 0,0 тыс. руб.;</w:t>
            </w:r>
          </w:p>
          <w:p>
            <w:pPr>
              <w:pStyle w:val="Normal"/>
              <w:widowControl w:val="false"/>
              <w:rPr>
                <w:sz w:val="28"/>
                <w:szCs w:val="28"/>
              </w:rPr>
            </w:pPr>
            <w:r>
              <w:rPr>
                <w:sz w:val="28"/>
                <w:szCs w:val="28"/>
              </w:rPr>
              <w:t>2019 год – 0,0 тыс. руб.;</w:t>
            </w:r>
          </w:p>
          <w:p>
            <w:pPr>
              <w:pStyle w:val="Normal"/>
              <w:widowControl w:val="false"/>
              <w:rPr>
                <w:sz w:val="28"/>
                <w:szCs w:val="28"/>
              </w:rPr>
            </w:pPr>
            <w:r>
              <w:rPr>
                <w:sz w:val="28"/>
                <w:szCs w:val="28"/>
              </w:rPr>
              <w:t>2020 год – 0,0 тыс. руб.;</w:t>
            </w:r>
          </w:p>
          <w:p>
            <w:pPr>
              <w:pStyle w:val="Normal"/>
              <w:widowControl w:val="false"/>
              <w:rPr>
                <w:sz w:val="28"/>
                <w:szCs w:val="28"/>
              </w:rPr>
            </w:pPr>
            <w:r>
              <w:rPr>
                <w:sz w:val="28"/>
                <w:szCs w:val="28"/>
              </w:rPr>
              <w:t>2021 год – 0,0 тыс. руб.;</w:t>
            </w:r>
          </w:p>
          <w:p>
            <w:pPr>
              <w:pStyle w:val="Normal"/>
              <w:widowControl w:val="false"/>
              <w:rPr>
                <w:sz w:val="28"/>
                <w:szCs w:val="28"/>
              </w:rPr>
            </w:pPr>
            <w:r>
              <w:rPr>
                <w:sz w:val="28"/>
                <w:szCs w:val="28"/>
              </w:rPr>
              <w:t>2022 год – 0,0 тыс. руб.;</w:t>
            </w:r>
          </w:p>
          <w:p>
            <w:pPr>
              <w:pStyle w:val="Normal"/>
              <w:widowControl w:val="false"/>
              <w:rPr>
                <w:sz w:val="28"/>
                <w:szCs w:val="28"/>
              </w:rPr>
            </w:pPr>
            <w:r>
              <w:rPr>
                <w:sz w:val="28"/>
                <w:szCs w:val="28"/>
              </w:rPr>
              <w:t>2023 год – 0,0 тыс. руб.;</w:t>
            </w:r>
          </w:p>
          <w:p>
            <w:pPr>
              <w:pStyle w:val="Normal"/>
              <w:widowControl w:val="false"/>
              <w:rPr>
                <w:sz w:val="28"/>
                <w:szCs w:val="28"/>
              </w:rPr>
            </w:pPr>
            <w:r>
              <w:rPr>
                <w:sz w:val="28"/>
                <w:szCs w:val="28"/>
              </w:rPr>
              <w:t>2024 год – 0,0 тыс. руб.</w:t>
            </w:r>
          </w:p>
          <w:p>
            <w:pPr>
              <w:pStyle w:val="Normal"/>
              <w:widowControl w:val="false"/>
              <w:rPr>
                <w:b/>
                <w:b/>
                <w:sz w:val="20"/>
                <w:szCs w:val="20"/>
              </w:rPr>
            </w:pPr>
            <w:r>
              <w:rPr>
                <w:b/>
                <w:sz w:val="20"/>
                <w:szCs w:val="20"/>
              </w:rPr>
            </w:r>
          </w:p>
        </w:tc>
      </w:tr>
    </w:tbl>
    <w:p>
      <w:pPr>
        <w:pStyle w:val="Normal"/>
        <w:jc w:val="center"/>
        <w:rPr>
          <w:sz w:val="28"/>
          <w:szCs w:val="28"/>
        </w:rPr>
      </w:pPr>
      <w:r>
        <w:rPr>
          <w:sz w:val="28"/>
          <w:szCs w:val="28"/>
        </w:rPr>
      </w:r>
    </w:p>
    <w:p>
      <w:pPr>
        <w:pStyle w:val="Normal"/>
        <w:jc w:val="center"/>
        <w:rPr>
          <w:sz w:val="28"/>
          <w:szCs w:val="28"/>
        </w:rPr>
      </w:pPr>
      <w:r>
        <w:rPr>
          <w:sz w:val="28"/>
          <w:szCs w:val="28"/>
        </w:rPr>
        <w:t xml:space="preserve">Характеристика и анализ текущего состояния сферы </w:t>
      </w:r>
    </w:p>
    <w:p>
      <w:pPr>
        <w:pStyle w:val="Normal"/>
        <w:widowControl w:val="false"/>
        <w:numPr>
          <w:ilvl w:val="0"/>
          <w:numId w:val="0"/>
        </w:numPr>
        <w:ind w:left="0" w:firstLine="567"/>
        <w:jc w:val="center"/>
        <w:outlineLvl w:val="2"/>
        <w:rPr>
          <w:sz w:val="28"/>
          <w:szCs w:val="28"/>
        </w:rPr>
      </w:pPr>
      <w:r>
        <w:rPr>
          <w:sz w:val="28"/>
          <w:szCs w:val="28"/>
        </w:rPr>
        <w:t>обеспечения выполнения функций органами местного самоуправления</w:t>
      </w:r>
    </w:p>
    <w:p>
      <w:pPr>
        <w:pStyle w:val="Normal"/>
        <w:shd w:val="clear" w:color="auto" w:fill="FFFFFF"/>
        <w:ind w:firstLine="561"/>
        <w:jc w:val="both"/>
        <w:rPr>
          <w:color w:val="000000"/>
          <w:sz w:val="28"/>
          <w:szCs w:val="28"/>
        </w:rPr>
      </w:pPr>
      <w:r>
        <w:rPr>
          <w:color w:val="000000"/>
          <w:sz w:val="28"/>
          <w:szCs w:val="28"/>
        </w:rPr>
        <w:t>Для выполнения функций органами местного самоуправления и повышения эффективности деятельности органов местного самоуправления необходимо:</w:t>
      </w:r>
    </w:p>
    <w:p>
      <w:pPr>
        <w:pStyle w:val="Normal"/>
        <w:shd w:val="clear" w:color="auto" w:fill="FFFFFF"/>
        <w:ind w:firstLine="561"/>
        <w:jc w:val="both"/>
        <w:rPr>
          <w:color w:val="000000"/>
          <w:sz w:val="28"/>
          <w:szCs w:val="28"/>
        </w:rPr>
      </w:pPr>
      <w:r>
        <w:rPr>
          <w:color w:val="000000"/>
          <w:sz w:val="28"/>
          <w:szCs w:val="28"/>
        </w:rPr>
        <w:t>- создание оптимальных условий для результативного труда муниципальных служащих;</w:t>
      </w:r>
    </w:p>
    <w:p>
      <w:pPr>
        <w:pStyle w:val="Normal"/>
        <w:shd w:val="clear" w:color="auto" w:fill="FFFFFF"/>
        <w:ind w:firstLine="561"/>
        <w:jc w:val="both"/>
        <w:rPr>
          <w:color w:val="000000"/>
          <w:sz w:val="28"/>
          <w:szCs w:val="28"/>
        </w:rPr>
      </w:pPr>
      <w:r>
        <w:rPr>
          <w:color w:val="000000"/>
          <w:sz w:val="28"/>
          <w:szCs w:val="28"/>
        </w:rPr>
        <w:t xml:space="preserve">- надлежащее содержание и развитие имущественного комплекса, предназначенного для функционирования органов местного самоуправления, </w:t>
        <w:br/>
        <w:t>в т.ч. организация технического обслуживания, текущего ремонта, содержания земельных участков, используемых для их эксплуатации;</w:t>
      </w:r>
    </w:p>
    <w:p>
      <w:pPr>
        <w:pStyle w:val="Normal"/>
        <w:shd w:val="clear" w:color="auto" w:fill="FFFFFF"/>
        <w:ind w:firstLine="561"/>
        <w:jc w:val="both"/>
        <w:rPr>
          <w:color w:val="000000"/>
          <w:sz w:val="28"/>
          <w:szCs w:val="28"/>
        </w:rPr>
      </w:pPr>
      <w:r>
        <w:rPr>
          <w:color w:val="000000"/>
          <w:sz w:val="28"/>
          <w:szCs w:val="28"/>
        </w:rPr>
        <w:t>- организация материально-технического, автотранспортного обеспечения деятельности органов местного самоуправления, обеспечения коммунальными услугами, услугами связи.</w:t>
      </w:r>
    </w:p>
    <w:p>
      <w:pPr>
        <w:pStyle w:val="Normal"/>
        <w:widowControl w:val="false"/>
        <w:ind w:firstLine="540"/>
        <w:jc w:val="both"/>
        <w:rPr>
          <w:sz w:val="28"/>
          <w:szCs w:val="28"/>
        </w:rPr>
      </w:pPr>
      <w:r>
        <w:rPr>
          <w:sz w:val="28"/>
          <w:szCs w:val="28"/>
        </w:rPr>
        <w:t>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округа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«Административно-хозяйственнаяслужба». Учреждением организовано обеспечение бесперебойной работы инженерных систем и оборудования в соответствии с действующими нормами и правилами, 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округа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округа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p>
    <w:p>
      <w:pPr>
        <w:pStyle w:val="NormalWeb"/>
        <w:spacing w:beforeAutospacing="0" w:before="0" w:afterAutospacing="0" w:after="0"/>
        <w:ind w:firstLine="539"/>
        <w:jc w:val="both"/>
        <w:rPr>
          <w:sz w:val="28"/>
          <w:szCs w:val="28"/>
        </w:rPr>
      </w:pPr>
      <w:r>
        <w:rPr>
          <w:sz w:val="28"/>
          <w:szCs w:val="28"/>
        </w:rPr>
        <w:t xml:space="preserve">Эффективное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pPr>
        <w:pStyle w:val="NormalWeb"/>
        <w:spacing w:beforeAutospacing="0" w:before="0" w:afterAutospacing="0" w:after="0"/>
        <w:ind w:firstLine="539"/>
        <w:jc w:val="both"/>
        <w:rPr>
          <w:sz w:val="28"/>
          <w:szCs w:val="28"/>
        </w:rPr>
      </w:pPr>
      <w:r>
        <w:rPr>
          <w:sz w:val="28"/>
          <w:szCs w:val="28"/>
        </w:rPr>
        <w:t>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 развитии муниципальной службы.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 учетом требований Указа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получение дополнительного профессионального образованиягражданскими служащими должно осуществляться не реже одного раза в три года. В соответствии с Федеральным законом от 02.03.2007 № 25-ФЗ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получению дополнительного профессионального образования муниципальными служащими и государственными гражданскими служащими. Соответственно получение дополнительного профессионального образования муниципальными служащими осуществляется по мере необходимости, определяемой представителем нанимателя, но не реже одного раза в три года.</w:t>
      </w:r>
    </w:p>
    <w:p>
      <w:pPr>
        <w:pStyle w:val="ConsPlusNormal1"/>
        <w:jc w:val="both"/>
        <w:rPr>
          <w:sz w:val="28"/>
          <w:szCs w:val="28"/>
        </w:rPr>
      </w:pPr>
      <w:r>
        <w:rPr>
          <w:rFonts w:cs="Times New Roman" w:ascii="Times New Roman" w:hAnsi="Times New Roman"/>
          <w:color w:val="000000"/>
          <w:sz w:val="28"/>
          <w:szCs w:val="28"/>
          <w:shd w:fill="FFFFFF" w:val="clear"/>
        </w:rPr>
        <w:t>Положительный социально-экономический климат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pPr>
        <w:pStyle w:val="Normal"/>
        <w:ind w:firstLine="567"/>
        <w:jc w:val="both"/>
        <w:rPr>
          <w:sz w:val="28"/>
          <w:szCs w:val="28"/>
        </w:rPr>
      </w:pPr>
      <w:r>
        <w:rPr>
          <w:sz w:val="28"/>
          <w:szCs w:val="28"/>
        </w:rPr>
      </w:r>
    </w:p>
    <w:p>
      <w:pPr>
        <w:pStyle w:val="Normal"/>
        <w:ind w:firstLine="567"/>
        <w:jc w:val="both"/>
        <w:rPr>
          <w:b/>
          <w:b/>
          <w:sz w:val="28"/>
          <w:szCs w:val="28"/>
        </w:rPr>
      </w:pPr>
      <w:r>
        <w:rPr>
          <w:b/>
          <w:sz w:val="28"/>
          <w:szCs w:val="28"/>
        </w:rPr>
        <w:t>Раздел 2. Цели и задачи муниципальной программы, целевые показатели реализации.</w:t>
      </w:r>
    </w:p>
    <w:p>
      <w:pPr>
        <w:pStyle w:val="Normal"/>
        <w:ind w:firstLine="567"/>
        <w:jc w:val="both"/>
        <w:rPr/>
      </w:pPr>
      <w:r>
        <w:rPr/>
      </w:r>
    </w:p>
    <w:p>
      <w:pPr>
        <w:pStyle w:val="Normal"/>
        <w:widowControl w:val="false"/>
        <w:ind w:firstLine="567"/>
        <w:jc w:val="both"/>
        <w:rPr>
          <w:sz w:val="28"/>
          <w:szCs w:val="28"/>
        </w:rPr>
      </w:pPr>
      <w:r>
        <w:rPr>
          <w:sz w:val="28"/>
          <w:szCs w:val="28"/>
        </w:rPr>
        <w:t>Основной целью муниципальной программы является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pPr>
        <w:pStyle w:val="Normal"/>
        <w:widowControl w:val="false"/>
        <w:ind w:firstLine="567"/>
        <w:jc w:val="both"/>
        <w:rPr>
          <w:sz w:val="28"/>
          <w:szCs w:val="28"/>
        </w:rPr>
      </w:pPr>
      <w:r>
        <w:rPr>
          <w:sz w:val="28"/>
          <w:szCs w:val="28"/>
        </w:rPr>
        <w:t>Основными задачами муниципальной программы являются:</w:t>
      </w:r>
    </w:p>
    <w:p>
      <w:pPr>
        <w:pStyle w:val="Normal"/>
        <w:widowControl w:val="false"/>
        <w:ind w:firstLine="567"/>
        <w:jc w:val="both"/>
        <w:rPr>
          <w:sz w:val="28"/>
          <w:szCs w:val="28"/>
        </w:rPr>
      </w:pPr>
      <w:r>
        <w:rPr>
          <w:sz w:val="28"/>
          <w:szCs w:val="28"/>
        </w:rPr>
        <w:t>1. Повышение уровня социально-экономического развития.</w:t>
      </w:r>
    </w:p>
    <w:p>
      <w:pPr>
        <w:pStyle w:val="Normal"/>
        <w:widowControl w:val="false"/>
        <w:ind w:firstLine="567"/>
        <w:jc w:val="both"/>
        <w:rPr>
          <w:sz w:val="28"/>
          <w:szCs w:val="28"/>
        </w:rPr>
      </w:pPr>
      <w:r>
        <w:rPr>
          <w:sz w:val="28"/>
          <w:szCs w:val="28"/>
        </w:rPr>
        <w:t>2.Повышения качества и доступности муниципальных услуг.</w:t>
      </w:r>
    </w:p>
    <w:p>
      <w:pPr>
        <w:pStyle w:val="Normal"/>
        <w:widowControl w:val="false"/>
        <w:ind w:firstLine="567"/>
        <w:jc w:val="both"/>
        <w:rPr>
          <w:sz w:val="28"/>
          <w:szCs w:val="28"/>
        </w:rPr>
      </w:pPr>
      <w:r>
        <w:rPr>
          <w:sz w:val="28"/>
          <w:szCs w:val="28"/>
        </w:rPr>
        <w:t>3. Повышение эффективности деятельности органов местного самоуправления.</w:t>
      </w:r>
    </w:p>
    <w:p>
      <w:pPr>
        <w:pStyle w:val="Normal"/>
        <w:widowControl w:val="false"/>
        <w:ind w:firstLine="567"/>
        <w:jc w:val="both"/>
        <w:rPr>
          <w:sz w:val="28"/>
          <w:szCs w:val="28"/>
        </w:rPr>
      </w:pPr>
      <w:r>
        <w:rPr>
          <w:sz w:val="28"/>
          <w:szCs w:val="28"/>
        </w:rPr>
        <w:t>4. Создание эффективных механизмов взаимодействия органов местного самоуправления и населения городского округа.</w:t>
      </w:r>
    </w:p>
    <w:p>
      <w:pPr>
        <w:pStyle w:val="Normal"/>
        <w:ind w:firstLine="567"/>
        <w:jc w:val="both"/>
        <w:rPr>
          <w:sz w:val="28"/>
          <w:szCs w:val="28"/>
        </w:rPr>
      </w:pPr>
      <w:r>
        <w:rPr>
          <w:sz w:val="28"/>
          <w:szCs w:val="28"/>
        </w:rPr>
        <w:t>Достичь поставленных целей и задач планируется за счет реализации подпрограмм:</w:t>
      </w:r>
    </w:p>
    <w:p>
      <w:pPr>
        <w:pStyle w:val="Normal"/>
        <w:ind w:firstLine="567"/>
        <w:jc w:val="both"/>
        <w:rPr>
          <w:sz w:val="28"/>
          <w:szCs w:val="28"/>
        </w:rPr>
      </w:pPr>
      <w:r>
        <w:rPr>
          <w:sz w:val="28"/>
          <w:szCs w:val="28"/>
        </w:rPr>
        <w:t>1. Развитие субъектов малого и среднего предпринимательства.</w:t>
      </w:r>
    </w:p>
    <w:p>
      <w:pPr>
        <w:pStyle w:val="Normal"/>
        <w:ind w:firstLine="567"/>
        <w:jc w:val="both"/>
        <w:rPr>
          <w:sz w:val="28"/>
          <w:szCs w:val="28"/>
        </w:rPr>
      </w:pPr>
      <w:r>
        <w:rPr>
          <w:sz w:val="28"/>
          <w:szCs w:val="28"/>
        </w:rPr>
        <w:t>2. Управление муниципальной собственности.</w:t>
      </w:r>
    </w:p>
    <w:p>
      <w:pPr>
        <w:pStyle w:val="Normal"/>
        <w:ind w:firstLine="567"/>
        <w:jc w:val="both"/>
        <w:rPr>
          <w:sz w:val="28"/>
          <w:szCs w:val="28"/>
        </w:rPr>
      </w:pPr>
      <w:r>
        <w:rPr>
          <w:sz w:val="28"/>
          <w:szCs w:val="28"/>
        </w:rPr>
        <w:t>3. Развитие информационного общества.</w:t>
      </w:r>
    </w:p>
    <w:p>
      <w:pPr>
        <w:pStyle w:val="Normal"/>
        <w:widowControl w:val="false"/>
        <w:ind w:firstLine="567"/>
        <w:jc w:val="both"/>
        <w:rPr>
          <w:sz w:val="28"/>
          <w:szCs w:val="28"/>
        </w:rPr>
      </w:pPr>
      <w:r>
        <w:rPr>
          <w:sz w:val="28"/>
          <w:szCs w:val="28"/>
        </w:rPr>
        <w:t>4. Создание условий для обеспечения выполнения функций органами местного самоуправления.</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t xml:space="preserve">Целевые показатели реализации муниципальной программы «Совершенствование социально-экономической политики и эффективности муниципального управления» на 2016-2024 годы приведены в </w:t>
        <w:br/>
        <w:t>Приложении № 1.</w:t>
      </w:r>
      <w:r>
        <w:br w:type="page"/>
      </w:r>
    </w:p>
    <w:p>
      <w:pPr>
        <w:pStyle w:val="Normal"/>
        <w:spacing w:lineRule="auto" w:line="276" w:before="0" w:after="200"/>
        <w:rPr>
          <w:b/>
          <w:b/>
          <w:sz w:val="28"/>
          <w:szCs w:val="28"/>
        </w:rPr>
      </w:pPr>
      <w:r>
        <w:rPr>
          <w:b/>
          <w:sz w:val="28"/>
          <w:szCs w:val="28"/>
        </w:rPr>
        <w:t>Раздел 3. План мероприятий по выполнению муниципальной программы.</w:t>
      </w:r>
    </w:p>
    <w:p>
      <w:pPr>
        <w:pStyle w:val="Normal"/>
        <w:ind w:firstLine="567"/>
        <w:jc w:val="both"/>
        <w:rPr>
          <w:b/>
          <w:b/>
          <w:sz w:val="28"/>
          <w:szCs w:val="28"/>
        </w:rPr>
      </w:pPr>
      <w:r>
        <w:rPr>
          <w:b/>
          <w:sz w:val="28"/>
          <w:szCs w:val="28"/>
        </w:rPr>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Ответственным исполнителем данной муниципальной программы является администрация городского округа ЗАТО Свободный.</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Реализация мероприятий муниципальной программы осуществляется исполнителями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 иные цели.</w:t>
      </w:r>
    </w:p>
    <w:p>
      <w:pPr>
        <w:pStyle w:val="Normal"/>
        <w:ind w:firstLine="540"/>
        <w:jc w:val="both"/>
        <w:rPr>
          <w:sz w:val="28"/>
          <w:szCs w:val="28"/>
        </w:rPr>
      </w:pPr>
      <w:r>
        <w:rPr>
          <w:rFonts w:eastAsia="Calibri" w:eastAsiaTheme="minorHAnsi"/>
          <w:sz w:val="28"/>
          <w:szCs w:val="28"/>
          <w:lang w:eastAsia="en-US"/>
        </w:rPr>
        <w:t>Исполнители при реализации мероприятий муниципальной программы руководствуются Федеральными</w:t>
      </w:r>
      <w:r>
        <w:rPr>
          <w:sz w:val="28"/>
          <w:szCs w:val="28"/>
        </w:rPr>
        <w:t>законами:</w:t>
      </w:r>
    </w:p>
    <w:p>
      <w:pPr>
        <w:pStyle w:val="Normal"/>
        <w:ind w:firstLine="540"/>
        <w:jc w:val="both"/>
        <w:rPr>
          <w:sz w:val="28"/>
          <w:szCs w:val="28"/>
        </w:rPr>
      </w:pPr>
      <w:r>
        <w:rPr>
          <w:sz w:val="28"/>
          <w:szCs w:val="28"/>
        </w:rPr>
        <w:t xml:space="preserve">- Указа Президента Российской Федерации от 28.12.2006 № 1474 </w:t>
        <w:br/>
        <w:t>«О дополнительном профессиональном образовании государственных гражданских служащих Российской Федерации»;</w:t>
      </w:r>
    </w:p>
    <w:p>
      <w:pPr>
        <w:pStyle w:val="Normal"/>
        <w:ind w:firstLine="540"/>
        <w:jc w:val="both"/>
        <w:rPr>
          <w:rFonts w:eastAsia="Calibri" w:eastAsiaTheme="minorHAnsi"/>
          <w:sz w:val="28"/>
          <w:szCs w:val="28"/>
          <w:lang w:eastAsia="en-US"/>
        </w:rPr>
      </w:pPr>
      <w:r>
        <w:rPr>
          <w:sz w:val="28"/>
          <w:szCs w:val="28"/>
        </w:rPr>
        <w:t>-</w:t>
      </w:r>
      <w:r>
        <w:rPr>
          <w:rFonts w:eastAsia="Calibri"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540"/>
        <w:jc w:val="both"/>
        <w:rPr>
          <w:sz w:val="28"/>
          <w:szCs w:val="28"/>
        </w:rPr>
      </w:pPr>
      <w:r>
        <w:rPr>
          <w:sz w:val="28"/>
          <w:szCs w:val="28"/>
        </w:rPr>
        <w:t>- от 02.03.2007 № 25-ФЗ «О муниципальной службе в Российской Федерации»,</w:t>
      </w:r>
    </w:p>
    <w:p>
      <w:pPr>
        <w:pStyle w:val="Normal"/>
        <w:ind w:firstLine="540"/>
        <w:jc w:val="both"/>
        <w:rPr>
          <w:sz w:val="28"/>
          <w:szCs w:val="28"/>
        </w:rPr>
      </w:pPr>
      <w:r>
        <w:rPr>
          <w:sz w:val="28"/>
          <w:szCs w:val="28"/>
        </w:rPr>
        <w:t>- от 06.10.2003 № 131-ФЗ «О</w:t>
      </w:r>
      <w:r>
        <w:rPr>
          <w:rFonts w:eastAsia="Calibri" w:eastAsiaTheme="minorHAnsi"/>
          <w:sz w:val="28"/>
          <w:szCs w:val="28"/>
          <w:lang w:eastAsia="en-US"/>
        </w:rPr>
        <w:t>б общих принципах организации местного самоуправления в Российской Федерации»</w:t>
      </w:r>
      <w:r>
        <w:rPr>
          <w:sz w:val="28"/>
          <w:szCs w:val="28"/>
        </w:rPr>
        <w:t>,</w:t>
      </w:r>
    </w:p>
    <w:p>
      <w:pPr>
        <w:pStyle w:val="Normal"/>
        <w:ind w:firstLine="540"/>
        <w:jc w:val="both"/>
        <w:rPr>
          <w:sz w:val="28"/>
          <w:szCs w:val="28"/>
        </w:rPr>
      </w:pPr>
      <w:r>
        <w:rPr>
          <w:sz w:val="28"/>
          <w:szCs w:val="28"/>
        </w:rPr>
        <w:t>- от 29.10.2007 № 136-ОЗ «Об особенностях муниципальной службы на территории Свердловской области».</w:t>
      </w:r>
    </w:p>
    <w:p>
      <w:pPr>
        <w:pStyle w:val="Normal"/>
        <w:ind w:firstLine="540"/>
        <w:jc w:val="both"/>
        <w:rPr>
          <w:sz w:val="28"/>
          <w:szCs w:val="28"/>
        </w:rPr>
      </w:pPr>
      <w:r>
        <w:rPr>
          <w:sz w:val="28"/>
          <w:szCs w:val="28"/>
        </w:rPr>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Финансирование мероприятий муниципальной программы </w:t>
      </w:r>
      <w:r>
        <w:rPr>
          <w:sz w:val="28"/>
          <w:szCs w:val="28"/>
        </w:rPr>
        <w:t>«Совершенствование социально-экономической политики и эффективности муниципального управления»на 2016-2020 годы</w:t>
      </w:r>
      <w:r>
        <w:rPr>
          <w:rFonts w:eastAsia="Calibri" w:eastAsiaTheme="minorHAnsi"/>
          <w:sz w:val="28"/>
          <w:szCs w:val="28"/>
          <w:lang w:eastAsia="en-US"/>
        </w:rPr>
        <w:t xml:space="preserve">осуществляется в соответствии с Бюджетным </w:t>
      </w:r>
      <w:hyperlink r:id="rId3">
        <w:r>
          <w:rPr>
            <w:rFonts w:eastAsia="Calibri" w:eastAsiaTheme="minorHAnsi"/>
            <w:sz w:val="28"/>
            <w:szCs w:val="28"/>
            <w:lang w:eastAsia="en-US"/>
          </w:rPr>
          <w:t>кодексом</w:t>
        </w:r>
      </w:hyperlink>
      <w:r>
        <w:rPr>
          <w:rFonts w:eastAsia="Calibri" w:eastAsiaTheme="minorHAnsi"/>
          <w:sz w:val="28"/>
          <w:szCs w:val="28"/>
          <w:lang w:eastAsia="en-US"/>
        </w:rPr>
        <w:t>Российской Федерации за счет средств областного и местного бюджетов.</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Общий объем средств, необходимый для реализации мероприятий муниципальной программы, составляет </w:t>
      </w:r>
      <w:r>
        <w:rPr>
          <w:rFonts w:eastAsia="Calibri" w:cs="Times New Roman" w:eastAsiaTheme="minorHAnsi"/>
          <w:color w:val="auto"/>
          <w:kern w:val="0"/>
          <w:sz w:val="28"/>
          <w:szCs w:val="28"/>
          <w:lang w:val="ru-RU" w:eastAsia="en-US" w:bidi="ar-SA"/>
        </w:rPr>
        <w:t>226460,3</w:t>
      </w:r>
      <w:r>
        <w:rPr>
          <w:rFonts w:eastAsia="Calibri" w:eastAsiaTheme="minorHAnsi"/>
          <w:sz w:val="28"/>
          <w:szCs w:val="28"/>
          <w:lang w:eastAsia="en-US"/>
        </w:rPr>
        <w:t xml:space="preserve"> тыс. руб., в том числе по годам:</w:t>
      </w:r>
    </w:p>
    <w:p>
      <w:pPr>
        <w:pStyle w:val="Normal"/>
        <w:widowControl w:val="false"/>
        <w:ind w:firstLine="567"/>
        <w:rPr>
          <w:sz w:val="28"/>
          <w:szCs w:val="28"/>
        </w:rPr>
      </w:pPr>
      <w:r>
        <w:rPr>
          <w:sz w:val="28"/>
          <w:szCs w:val="28"/>
        </w:rPr>
        <w:t>2016 год – 18482,8 тыс. руб.;</w:t>
      </w:r>
    </w:p>
    <w:p>
      <w:pPr>
        <w:pStyle w:val="Normal"/>
        <w:widowControl w:val="false"/>
        <w:ind w:firstLine="567"/>
        <w:rPr>
          <w:sz w:val="28"/>
          <w:szCs w:val="28"/>
        </w:rPr>
      </w:pPr>
      <w:r>
        <w:rPr>
          <w:sz w:val="28"/>
          <w:szCs w:val="28"/>
        </w:rPr>
        <w:t>2017 год – 24477,9 тыс. руб.;</w:t>
      </w:r>
    </w:p>
    <w:p>
      <w:pPr>
        <w:pStyle w:val="Normal"/>
        <w:widowControl w:val="false"/>
        <w:ind w:firstLine="567"/>
        <w:rPr>
          <w:sz w:val="28"/>
          <w:szCs w:val="28"/>
        </w:rPr>
      </w:pPr>
      <w:r>
        <w:rPr>
          <w:sz w:val="28"/>
          <w:szCs w:val="28"/>
        </w:rPr>
        <w:t>2018 год – 23938,6 тыс. руб.;</w:t>
      </w:r>
    </w:p>
    <w:p>
      <w:pPr>
        <w:pStyle w:val="Normal"/>
        <w:widowControl w:val="false"/>
        <w:ind w:firstLine="567"/>
        <w:rPr>
          <w:sz w:val="28"/>
          <w:szCs w:val="28"/>
        </w:rPr>
      </w:pPr>
      <w:r>
        <w:rPr>
          <w:sz w:val="28"/>
          <w:szCs w:val="28"/>
        </w:rPr>
        <w:t>2019 год – 23200,0 тыс. руб.;</w:t>
      </w:r>
    </w:p>
    <w:p>
      <w:pPr>
        <w:pStyle w:val="Normal"/>
        <w:widowControl w:val="false"/>
        <w:ind w:firstLine="567"/>
        <w:rPr>
          <w:sz w:val="28"/>
          <w:szCs w:val="28"/>
        </w:rPr>
      </w:pPr>
      <w:r>
        <w:rPr>
          <w:sz w:val="28"/>
          <w:szCs w:val="28"/>
        </w:rPr>
        <w:t xml:space="preserve">2020 год – </w:t>
      </w:r>
      <w:r>
        <w:rPr>
          <w:rFonts w:eastAsia="Times New Roman" w:cs="Times New Roman"/>
          <w:color w:val="auto"/>
          <w:kern w:val="0"/>
          <w:sz w:val="28"/>
          <w:szCs w:val="28"/>
          <w:lang w:val="ru-RU" w:eastAsia="ru-RU" w:bidi="ar-SA"/>
        </w:rPr>
        <w:t>31483,8</w:t>
      </w:r>
      <w:r>
        <w:rPr>
          <w:sz w:val="28"/>
          <w:szCs w:val="28"/>
        </w:rPr>
        <w:t xml:space="preserve"> тыс. руб.;</w:t>
      </w:r>
    </w:p>
    <w:p>
      <w:pPr>
        <w:pStyle w:val="Normal"/>
        <w:widowControl w:val="false"/>
        <w:ind w:firstLine="567"/>
        <w:rPr>
          <w:sz w:val="28"/>
          <w:szCs w:val="28"/>
        </w:rPr>
      </w:pPr>
      <w:r>
        <w:rPr>
          <w:sz w:val="28"/>
          <w:szCs w:val="28"/>
        </w:rPr>
        <w:t>2021 год – 25747,4 тыс. руб.;</w:t>
      </w:r>
      <w:bookmarkStart w:id="62" w:name="OLE_LINK61"/>
      <w:bookmarkStart w:id="63" w:name="OLE_LINK62"/>
      <w:bookmarkEnd w:id="62"/>
      <w:bookmarkEnd w:id="63"/>
    </w:p>
    <w:p>
      <w:pPr>
        <w:pStyle w:val="Normal"/>
        <w:widowControl w:val="false"/>
        <w:ind w:firstLine="567"/>
        <w:rPr>
          <w:sz w:val="28"/>
          <w:szCs w:val="28"/>
        </w:rPr>
      </w:pPr>
      <w:r>
        <w:rPr>
          <w:sz w:val="28"/>
          <w:szCs w:val="28"/>
        </w:rPr>
        <w:t>2022 год – 26376,6 тыс. руб.;</w:t>
      </w:r>
    </w:p>
    <w:p>
      <w:pPr>
        <w:pStyle w:val="Normal"/>
        <w:widowControl w:val="false"/>
        <w:ind w:firstLine="567"/>
        <w:rPr>
          <w:sz w:val="28"/>
          <w:szCs w:val="28"/>
        </w:rPr>
      </w:pPr>
      <w:r>
        <w:rPr>
          <w:sz w:val="28"/>
          <w:szCs w:val="28"/>
        </w:rPr>
        <w:t>2023 год – 26376,4 тыс. руб.;</w:t>
      </w:r>
    </w:p>
    <w:p>
      <w:pPr>
        <w:pStyle w:val="Normal"/>
        <w:widowControl w:val="false"/>
        <w:ind w:firstLine="567"/>
        <w:rPr>
          <w:sz w:val="28"/>
          <w:szCs w:val="28"/>
        </w:rPr>
      </w:pPr>
      <w:r>
        <w:rPr>
          <w:sz w:val="28"/>
          <w:szCs w:val="28"/>
        </w:rPr>
        <w:t>2024 год – 26376,6 тыс. руб.</w:t>
      </w:r>
      <w:bookmarkStart w:id="64" w:name="OLE_LINK59"/>
      <w:bookmarkStart w:id="65" w:name="OLE_LINK60"/>
      <w:bookmarkEnd w:id="64"/>
      <w:bookmarkEnd w:id="65"/>
    </w:p>
    <w:p>
      <w:pPr>
        <w:pStyle w:val="Normal"/>
        <w:widowControl w:val="false"/>
        <w:ind w:firstLine="567"/>
        <w:jc w:val="both"/>
        <w:rPr>
          <w:sz w:val="28"/>
          <w:szCs w:val="28"/>
        </w:rPr>
      </w:pPr>
      <w:r>
        <w:rPr>
          <w:sz w:val="28"/>
          <w:szCs w:val="28"/>
        </w:rPr>
        <w:t xml:space="preserve">На реализацию подпрограммы 1. «Развитие субъектов малого и среднего предпринимательства» - 1190,9 тыс. руб., в том числе по годам: </w:t>
      </w:r>
    </w:p>
    <w:p>
      <w:pPr>
        <w:pStyle w:val="Normal"/>
        <w:widowControl w:val="false"/>
        <w:ind w:firstLine="567"/>
        <w:rPr>
          <w:sz w:val="28"/>
          <w:szCs w:val="28"/>
        </w:rPr>
      </w:pPr>
      <w:r>
        <w:rPr>
          <w:sz w:val="28"/>
          <w:szCs w:val="28"/>
        </w:rPr>
        <w:t>2016 год – 150,0 тыс. руб.;</w:t>
      </w:r>
    </w:p>
    <w:p>
      <w:pPr>
        <w:pStyle w:val="Normal"/>
        <w:widowControl w:val="false"/>
        <w:ind w:firstLine="567"/>
        <w:rPr>
          <w:sz w:val="28"/>
          <w:szCs w:val="28"/>
        </w:rPr>
      </w:pPr>
      <w:r>
        <w:rPr>
          <w:sz w:val="28"/>
          <w:szCs w:val="28"/>
        </w:rPr>
        <w:t>2017 год – 272,3 тыс. руб.;</w:t>
      </w:r>
    </w:p>
    <w:p>
      <w:pPr>
        <w:pStyle w:val="Normal"/>
        <w:widowControl w:val="false"/>
        <w:ind w:firstLine="567"/>
        <w:rPr>
          <w:sz w:val="28"/>
          <w:szCs w:val="28"/>
        </w:rPr>
      </w:pPr>
      <w:r>
        <w:rPr>
          <w:sz w:val="28"/>
          <w:szCs w:val="28"/>
        </w:rPr>
        <w:t>2018 год – 90,0 тыс. руб.;</w:t>
      </w:r>
    </w:p>
    <w:p>
      <w:pPr>
        <w:pStyle w:val="Normal"/>
        <w:widowControl w:val="false"/>
        <w:ind w:firstLine="567"/>
        <w:rPr>
          <w:sz w:val="28"/>
          <w:szCs w:val="28"/>
        </w:rPr>
      </w:pPr>
      <w:r>
        <w:rPr>
          <w:sz w:val="28"/>
          <w:szCs w:val="28"/>
        </w:rPr>
        <w:t>2019 год – 178,6 тыс. руб.;</w:t>
      </w:r>
    </w:p>
    <w:p>
      <w:pPr>
        <w:pStyle w:val="Normal"/>
        <w:widowControl w:val="false"/>
        <w:ind w:firstLine="567"/>
        <w:rPr>
          <w:sz w:val="28"/>
          <w:szCs w:val="28"/>
        </w:rPr>
      </w:pPr>
      <w:r>
        <w:rPr>
          <w:sz w:val="28"/>
          <w:szCs w:val="28"/>
        </w:rPr>
        <w:t>2020 год – 100,0 тыс. руб.;</w:t>
      </w:r>
      <w:bookmarkStart w:id="66" w:name="OLE_LINK63"/>
      <w:bookmarkStart w:id="67" w:name="OLE_LINK64"/>
      <w:bookmarkEnd w:id="66"/>
      <w:bookmarkEnd w:id="67"/>
    </w:p>
    <w:p>
      <w:pPr>
        <w:pStyle w:val="Normal"/>
        <w:widowControl w:val="false"/>
        <w:ind w:firstLine="567"/>
        <w:rPr>
          <w:sz w:val="28"/>
          <w:szCs w:val="28"/>
        </w:rPr>
      </w:pPr>
      <w:r>
        <w:rPr>
          <w:sz w:val="28"/>
          <w:szCs w:val="28"/>
        </w:rPr>
        <w:t>2021 год – 100,0 тыс. руб.;</w:t>
      </w:r>
    </w:p>
    <w:p>
      <w:pPr>
        <w:pStyle w:val="Normal"/>
        <w:widowControl w:val="false"/>
        <w:ind w:firstLine="567"/>
        <w:rPr>
          <w:sz w:val="28"/>
          <w:szCs w:val="28"/>
        </w:rPr>
      </w:pPr>
      <w:r>
        <w:rPr>
          <w:sz w:val="28"/>
          <w:szCs w:val="28"/>
        </w:rPr>
        <w:t>2022 год – 100,0 тыс. руб.;</w:t>
      </w:r>
    </w:p>
    <w:p>
      <w:pPr>
        <w:pStyle w:val="Normal"/>
        <w:widowControl w:val="false"/>
        <w:ind w:firstLine="567"/>
        <w:rPr>
          <w:sz w:val="28"/>
          <w:szCs w:val="28"/>
        </w:rPr>
      </w:pPr>
      <w:r>
        <w:rPr>
          <w:sz w:val="28"/>
          <w:szCs w:val="28"/>
        </w:rPr>
        <w:t>2023 год – 100,0 тыс. руб.;</w:t>
      </w:r>
    </w:p>
    <w:p>
      <w:pPr>
        <w:pStyle w:val="Normal"/>
        <w:widowControl w:val="false"/>
        <w:ind w:firstLine="567"/>
        <w:rPr>
          <w:sz w:val="28"/>
          <w:szCs w:val="28"/>
        </w:rPr>
      </w:pPr>
      <w:r>
        <w:rPr>
          <w:sz w:val="28"/>
          <w:szCs w:val="28"/>
        </w:rPr>
        <w:t>2024 год – 100,0 тыс. руб.</w:t>
      </w:r>
    </w:p>
    <w:p>
      <w:pPr>
        <w:pStyle w:val="Normal"/>
        <w:widowControl w:val="false"/>
        <w:ind w:firstLine="567"/>
        <w:jc w:val="both"/>
        <w:rPr>
          <w:sz w:val="20"/>
          <w:szCs w:val="20"/>
        </w:rPr>
      </w:pPr>
      <w:r>
        <w:rPr>
          <w:sz w:val="20"/>
          <w:szCs w:val="20"/>
        </w:rPr>
      </w:r>
    </w:p>
    <w:p>
      <w:pPr>
        <w:pStyle w:val="Normal"/>
        <w:widowControl w:val="false"/>
        <w:ind w:firstLine="567"/>
        <w:jc w:val="both"/>
        <w:rPr>
          <w:sz w:val="28"/>
          <w:szCs w:val="28"/>
        </w:rPr>
      </w:pPr>
      <w:r>
        <w:rPr>
          <w:sz w:val="28"/>
          <w:szCs w:val="28"/>
        </w:rPr>
        <w:t xml:space="preserve">На реализацию подпрограммы 2. «Управление муниципальной собственностью» - </w:t>
      </w:r>
      <w:r>
        <w:rPr>
          <w:rFonts w:eastAsia="Times New Roman" w:cs="Times New Roman"/>
          <w:color w:val="auto"/>
          <w:kern w:val="0"/>
          <w:sz w:val="28"/>
          <w:szCs w:val="28"/>
          <w:lang w:val="ru-RU" w:eastAsia="ru-RU" w:bidi="ar-SA"/>
        </w:rPr>
        <w:t>15216,5</w:t>
      </w:r>
      <w:r>
        <w:rPr>
          <w:sz w:val="28"/>
          <w:szCs w:val="28"/>
        </w:rPr>
        <w:t xml:space="preserve"> тыс. руб., в том числе по годам:</w:t>
      </w:r>
    </w:p>
    <w:p>
      <w:pPr>
        <w:pStyle w:val="Normal"/>
        <w:widowControl w:val="false"/>
        <w:ind w:firstLine="567"/>
        <w:rPr>
          <w:sz w:val="28"/>
          <w:szCs w:val="28"/>
        </w:rPr>
      </w:pPr>
      <w:r>
        <w:rPr>
          <w:sz w:val="28"/>
          <w:szCs w:val="28"/>
        </w:rPr>
        <w:t>2016 год – 1562,2тыс. руб.;</w:t>
      </w:r>
    </w:p>
    <w:p>
      <w:pPr>
        <w:pStyle w:val="Normal"/>
        <w:widowControl w:val="false"/>
        <w:ind w:firstLine="567"/>
        <w:rPr>
          <w:sz w:val="28"/>
          <w:szCs w:val="28"/>
        </w:rPr>
      </w:pPr>
      <w:r>
        <w:rPr>
          <w:sz w:val="28"/>
          <w:szCs w:val="28"/>
        </w:rPr>
        <w:t>2017 год – 1414,2 тыс. руб.;</w:t>
      </w:r>
    </w:p>
    <w:p>
      <w:pPr>
        <w:pStyle w:val="Normal"/>
        <w:widowControl w:val="false"/>
        <w:ind w:firstLine="567"/>
        <w:rPr>
          <w:sz w:val="28"/>
          <w:szCs w:val="28"/>
        </w:rPr>
      </w:pPr>
      <w:r>
        <w:rPr>
          <w:sz w:val="28"/>
          <w:szCs w:val="28"/>
        </w:rPr>
        <w:t>2018 год – 1184,5 тыс. руб.;</w:t>
      </w:r>
    </w:p>
    <w:p>
      <w:pPr>
        <w:pStyle w:val="Normal"/>
        <w:widowControl w:val="false"/>
        <w:ind w:firstLine="567"/>
        <w:rPr>
          <w:sz w:val="28"/>
          <w:szCs w:val="28"/>
        </w:rPr>
      </w:pPr>
      <w:r>
        <w:rPr>
          <w:sz w:val="28"/>
          <w:szCs w:val="28"/>
        </w:rPr>
        <w:t>2019 год – 1847,7 тыс. руб.;</w:t>
      </w:r>
    </w:p>
    <w:p>
      <w:pPr>
        <w:pStyle w:val="Normal"/>
        <w:widowControl w:val="false"/>
        <w:ind w:firstLine="567"/>
        <w:rPr>
          <w:sz w:val="28"/>
          <w:szCs w:val="28"/>
        </w:rPr>
      </w:pPr>
      <w:r>
        <w:rPr>
          <w:sz w:val="28"/>
          <w:szCs w:val="28"/>
        </w:rPr>
        <w:t xml:space="preserve">2020 год – </w:t>
      </w:r>
      <w:r>
        <w:rPr>
          <w:rFonts w:eastAsia="Times New Roman" w:cs="Times New Roman"/>
          <w:color w:val="auto"/>
          <w:kern w:val="0"/>
          <w:sz w:val="28"/>
          <w:szCs w:val="28"/>
          <w:lang w:val="ru-RU" w:eastAsia="ru-RU" w:bidi="ar-SA"/>
        </w:rPr>
        <w:t>3887,0</w:t>
      </w:r>
      <w:r>
        <w:rPr>
          <w:sz w:val="28"/>
          <w:szCs w:val="28"/>
        </w:rPr>
        <w:t xml:space="preserve"> тыс. руб.;</w:t>
      </w:r>
      <w:bookmarkStart w:id="68" w:name="OLE_LINK65"/>
      <w:bookmarkEnd w:id="68"/>
    </w:p>
    <w:p>
      <w:pPr>
        <w:pStyle w:val="Normal"/>
        <w:widowControl w:val="false"/>
        <w:ind w:firstLine="567"/>
        <w:rPr>
          <w:sz w:val="28"/>
          <w:szCs w:val="28"/>
        </w:rPr>
      </w:pPr>
      <w:r>
        <w:rPr>
          <w:sz w:val="28"/>
          <w:szCs w:val="28"/>
        </w:rPr>
        <w:t>2021 год – 1292,6 тыс. руб.;</w:t>
      </w:r>
    </w:p>
    <w:p>
      <w:pPr>
        <w:pStyle w:val="Normal"/>
        <w:widowControl w:val="false"/>
        <w:ind w:firstLine="567"/>
        <w:rPr>
          <w:sz w:val="28"/>
          <w:szCs w:val="28"/>
        </w:rPr>
      </w:pPr>
      <w:r>
        <w:rPr>
          <w:sz w:val="28"/>
          <w:szCs w:val="28"/>
        </w:rPr>
        <w:t>2022 год – 1342,8 тыс. руб.;</w:t>
      </w:r>
    </w:p>
    <w:p>
      <w:pPr>
        <w:pStyle w:val="Normal"/>
        <w:widowControl w:val="false"/>
        <w:ind w:firstLine="567"/>
        <w:rPr>
          <w:sz w:val="28"/>
          <w:szCs w:val="28"/>
        </w:rPr>
      </w:pPr>
      <w:r>
        <w:rPr>
          <w:sz w:val="28"/>
          <w:szCs w:val="28"/>
        </w:rPr>
        <w:t>2023 год – 1342,8 тыс. руб.;</w:t>
      </w:r>
    </w:p>
    <w:p>
      <w:pPr>
        <w:pStyle w:val="Normal"/>
        <w:widowControl w:val="false"/>
        <w:ind w:firstLine="567"/>
        <w:rPr>
          <w:sz w:val="28"/>
          <w:szCs w:val="28"/>
        </w:rPr>
      </w:pPr>
      <w:r>
        <w:rPr>
          <w:sz w:val="28"/>
          <w:szCs w:val="28"/>
        </w:rPr>
        <w:t>2024 год – 1342,8 тыс. руб.;</w:t>
      </w:r>
    </w:p>
    <w:p>
      <w:pPr>
        <w:pStyle w:val="Normal"/>
        <w:widowControl w:val="false"/>
        <w:ind w:firstLine="567"/>
        <w:jc w:val="both"/>
        <w:rPr>
          <w:sz w:val="28"/>
          <w:szCs w:val="28"/>
        </w:rPr>
      </w:pPr>
      <w:r>
        <w:rPr>
          <w:sz w:val="28"/>
          <w:szCs w:val="28"/>
        </w:rPr>
      </w:r>
    </w:p>
    <w:p>
      <w:pPr>
        <w:pStyle w:val="Normal"/>
        <w:ind w:firstLine="567"/>
        <w:jc w:val="both"/>
        <w:rPr>
          <w:sz w:val="28"/>
          <w:szCs w:val="28"/>
        </w:rPr>
      </w:pPr>
      <w:r>
        <w:rPr>
          <w:sz w:val="28"/>
          <w:szCs w:val="28"/>
        </w:rPr>
        <w:t>На реализацию подпрограммы 3. «Развитие информационного общества» - 22740,1 тыс. руб., в том числе по годам:</w:t>
      </w:r>
    </w:p>
    <w:p>
      <w:pPr>
        <w:pStyle w:val="Normal"/>
        <w:ind w:firstLine="567"/>
        <w:rPr>
          <w:sz w:val="28"/>
          <w:szCs w:val="28"/>
        </w:rPr>
      </w:pPr>
      <w:r>
        <w:rPr>
          <w:sz w:val="28"/>
          <w:szCs w:val="28"/>
        </w:rPr>
        <w:t>2016 год – 2376,8 тыс. руб.;</w:t>
      </w:r>
    </w:p>
    <w:p>
      <w:pPr>
        <w:pStyle w:val="Normal"/>
        <w:ind w:firstLine="567"/>
        <w:rPr>
          <w:sz w:val="28"/>
          <w:szCs w:val="28"/>
        </w:rPr>
      </w:pPr>
      <w:r>
        <w:rPr>
          <w:sz w:val="28"/>
          <w:szCs w:val="28"/>
        </w:rPr>
        <w:t>2017 год – 2223,0 тыс. руб.;</w:t>
      </w:r>
    </w:p>
    <w:p>
      <w:pPr>
        <w:pStyle w:val="Normal"/>
        <w:ind w:firstLine="567"/>
        <w:rPr>
          <w:sz w:val="28"/>
          <w:szCs w:val="28"/>
        </w:rPr>
      </w:pPr>
      <w:r>
        <w:rPr>
          <w:sz w:val="28"/>
          <w:szCs w:val="28"/>
        </w:rPr>
        <w:t>2018 год – 2250,6 тыс. руб.;</w:t>
      </w:r>
    </w:p>
    <w:p>
      <w:pPr>
        <w:pStyle w:val="Normal"/>
        <w:ind w:firstLine="567"/>
        <w:rPr>
          <w:sz w:val="28"/>
          <w:szCs w:val="28"/>
        </w:rPr>
      </w:pPr>
      <w:r>
        <w:rPr>
          <w:sz w:val="28"/>
          <w:szCs w:val="28"/>
        </w:rPr>
        <w:t>2019 год – 2483,7 тыс. руб.;</w:t>
      </w:r>
    </w:p>
    <w:p>
      <w:pPr>
        <w:pStyle w:val="Normal"/>
        <w:ind w:firstLine="567"/>
        <w:rPr>
          <w:sz w:val="28"/>
          <w:szCs w:val="28"/>
        </w:rPr>
      </w:pPr>
      <w:r>
        <w:rPr>
          <w:sz w:val="28"/>
          <w:szCs w:val="28"/>
        </w:rPr>
        <w:t>2020 год – 2537,4 тыс. руб.;</w:t>
      </w:r>
    </w:p>
    <w:p>
      <w:pPr>
        <w:pStyle w:val="Normal"/>
        <w:ind w:firstLine="567"/>
        <w:rPr>
          <w:sz w:val="28"/>
          <w:szCs w:val="28"/>
        </w:rPr>
      </w:pPr>
      <w:r>
        <w:rPr>
          <w:sz w:val="28"/>
          <w:szCs w:val="28"/>
        </w:rPr>
        <w:t>2021 год – 2638,4 тыс. руб.;</w:t>
      </w:r>
      <w:bookmarkStart w:id="69" w:name="OLE_LINK68"/>
      <w:bookmarkStart w:id="70" w:name="OLE_LINK69"/>
      <w:bookmarkEnd w:id="69"/>
      <w:bookmarkEnd w:id="70"/>
    </w:p>
    <w:p>
      <w:pPr>
        <w:pStyle w:val="Normal"/>
        <w:ind w:firstLine="567"/>
        <w:rPr>
          <w:sz w:val="28"/>
          <w:szCs w:val="28"/>
        </w:rPr>
      </w:pPr>
      <w:r>
        <w:rPr>
          <w:sz w:val="28"/>
          <w:szCs w:val="28"/>
        </w:rPr>
        <w:t>2022 год – 2743,4 тыс. руб.;</w:t>
      </w:r>
    </w:p>
    <w:p>
      <w:pPr>
        <w:pStyle w:val="Normal"/>
        <w:ind w:firstLine="567"/>
        <w:rPr>
          <w:sz w:val="28"/>
          <w:szCs w:val="28"/>
        </w:rPr>
      </w:pPr>
      <w:r>
        <w:rPr>
          <w:sz w:val="28"/>
          <w:szCs w:val="28"/>
        </w:rPr>
        <w:t>2023 год – 2743,4 тыс. руб.;</w:t>
      </w:r>
    </w:p>
    <w:p>
      <w:pPr>
        <w:pStyle w:val="Normal"/>
        <w:ind w:firstLine="567"/>
        <w:rPr>
          <w:sz w:val="28"/>
          <w:szCs w:val="28"/>
        </w:rPr>
      </w:pPr>
      <w:r>
        <w:rPr>
          <w:sz w:val="28"/>
          <w:szCs w:val="28"/>
        </w:rPr>
        <w:t>2024 год – 2743,4 тыс. руб.</w:t>
      </w:r>
    </w:p>
    <w:p>
      <w:pPr>
        <w:pStyle w:val="Normal"/>
        <w:widowControl w:val="false"/>
        <w:ind w:firstLine="567"/>
        <w:jc w:val="both"/>
        <w:rPr>
          <w:sz w:val="28"/>
          <w:szCs w:val="28"/>
        </w:rPr>
      </w:pPr>
      <w:r>
        <w:rPr>
          <w:sz w:val="28"/>
          <w:szCs w:val="28"/>
        </w:rPr>
      </w:r>
      <w:bookmarkStart w:id="71" w:name="OLE_LINK66"/>
      <w:bookmarkStart w:id="72" w:name="OLE_LINK67"/>
      <w:bookmarkStart w:id="73" w:name="OLE_LINK66"/>
      <w:bookmarkStart w:id="74" w:name="OLE_LINK67"/>
      <w:bookmarkEnd w:id="73"/>
      <w:bookmarkEnd w:id="74"/>
    </w:p>
    <w:p>
      <w:pPr>
        <w:pStyle w:val="Normal"/>
        <w:widowControl w:val="false"/>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r>
        <w:rPr>
          <w:rFonts w:eastAsia="Times New Roman" w:cs="Times New Roman"/>
          <w:color w:val="auto"/>
          <w:kern w:val="0"/>
          <w:sz w:val="28"/>
          <w:szCs w:val="28"/>
          <w:lang w:val="ru-RU" w:eastAsia="ru-RU" w:bidi="ar-SA"/>
        </w:rPr>
        <w:t>187312,8</w:t>
      </w:r>
      <w:r>
        <w:rPr>
          <w:sz w:val="28"/>
          <w:szCs w:val="28"/>
        </w:rPr>
        <w:t xml:space="preserve"> тыс. руб., в том числе по годам:</w:t>
      </w:r>
    </w:p>
    <w:p>
      <w:pPr>
        <w:pStyle w:val="Normal"/>
        <w:widowControl w:val="false"/>
        <w:ind w:firstLine="567"/>
        <w:rPr>
          <w:sz w:val="28"/>
          <w:szCs w:val="28"/>
        </w:rPr>
      </w:pPr>
      <w:r>
        <w:rPr>
          <w:sz w:val="28"/>
          <w:szCs w:val="28"/>
        </w:rPr>
        <w:t>2016 год – 14393,8 тыс. руб.;</w:t>
      </w:r>
    </w:p>
    <w:p>
      <w:pPr>
        <w:pStyle w:val="Normal"/>
        <w:widowControl w:val="false"/>
        <w:ind w:firstLine="567"/>
        <w:rPr>
          <w:sz w:val="28"/>
          <w:szCs w:val="28"/>
        </w:rPr>
      </w:pPr>
      <w:r>
        <w:rPr>
          <w:sz w:val="28"/>
          <w:szCs w:val="28"/>
        </w:rPr>
        <w:t>2017 год – 20568,4 тыс. руб.;</w:t>
      </w:r>
    </w:p>
    <w:p>
      <w:pPr>
        <w:pStyle w:val="Normal"/>
        <w:widowControl w:val="false"/>
        <w:ind w:firstLine="567"/>
        <w:rPr>
          <w:sz w:val="28"/>
          <w:szCs w:val="28"/>
        </w:rPr>
      </w:pPr>
      <w:r>
        <w:rPr>
          <w:sz w:val="28"/>
          <w:szCs w:val="28"/>
        </w:rPr>
        <w:t>2018 год – 20413,5 тыс. руб.;</w:t>
      </w:r>
    </w:p>
    <w:p>
      <w:pPr>
        <w:pStyle w:val="Normal"/>
        <w:widowControl w:val="false"/>
        <w:ind w:firstLine="567"/>
        <w:rPr>
          <w:sz w:val="28"/>
          <w:szCs w:val="28"/>
        </w:rPr>
      </w:pPr>
      <w:r>
        <w:rPr>
          <w:sz w:val="28"/>
          <w:szCs w:val="28"/>
        </w:rPr>
        <w:t>2019 год – 18690,0 тыс. руб.;</w:t>
      </w:r>
    </w:p>
    <w:p>
      <w:pPr>
        <w:pStyle w:val="Normal"/>
        <w:widowControl w:val="false"/>
        <w:ind w:firstLine="567"/>
        <w:rPr>
          <w:sz w:val="28"/>
          <w:szCs w:val="28"/>
        </w:rPr>
      </w:pPr>
      <w:bookmarkStart w:id="75" w:name="OLE_LINK70"/>
      <w:bookmarkStart w:id="76" w:name="OLE_LINK71"/>
      <w:bookmarkEnd w:id="75"/>
      <w:bookmarkEnd w:id="76"/>
      <w:r>
        <w:rPr>
          <w:sz w:val="28"/>
          <w:szCs w:val="28"/>
        </w:rPr>
        <w:t xml:space="preserve">2020 год – </w:t>
      </w:r>
      <w:bookmarkStart w:id="77" w:name="_GoBack"/>
      <w:bookmarkEnd w:id="77"/>
      <w:r>
        <w:rPr>
          <w:rFonts w:eastAsia="Times New Roman" w:cs="Times New Roman"/>
          <w:color w:val="auto"/>
          <w:kern w:val="0"/>
          <w:sz w:val="28"/>
          <w:szCs w:val="28"/>
          <w:lang w:val="ru-RU" w:eastAsia="ru-RU" w:bidi="ar-SA"/>
        </w:rPr>
        <w:t>24959,4</w:t>
      </w:r>
      <w:r>
        <w:rPr>
          <w:sz w:val="28"/>
          <w:szCs w:val="28"/>
        </w:rPr>
        <w:t xml:space="preserve"> тыс. руб.;</w:t>
      </w:r>
    </w:p>
    <w:p>
      <w:pPr>
        <w:pStyle w:val="Normal"/>
        <w:widowControl w:val="false"/>
        <w:ind w:firstLine="567"/>
        <w:rPr>
          <w:sz w:val="28"/>
          <w:szCs w:val="28"/>
        </w:rPr>
      </w:pPr>
      <w:bookmarkStart w:id="78" w:name="OLE_LINK701"/>
      <w:bookmarkStart w:id="79" w:name="OLE_LINK711"/>
      <w:bookmarkEnd w:id="78"/>
      <w:bookmarkEnd w:id="79"/>
      <w:r>
        <w:rPr>
          <w:sz w:val="28"/>
          <w:szCs w:val="28"/>
        </w:rPr>
        <w:t>2021 год – 21716,4 тыс. руб.;</w:t>
      </w:r>
      <w:bookmarkStart w:id="80" w:name="OLE_LINK72"/>
      <w:bookmarkEnd w:id="80"/>
    </w:p>
    <w:p>
      <w:pPr>
        <w:pStyle w:val="Normal"/>
        <w:widowControl w:val="false"/>
        <w:ind w:firstLine="567"/>
        <w:rPr>
          <w:sz w:val="28"/>
          <w:szCs w:val="28"/>
        </w:rPr>
      </w:pPr>
      <w:r>
        <w:rPr>
          <w:sz w:val="28"/>
          <w:szCs w:val="28"/>
        </w:rPr>
        <w:t>2022 год – 22190,4 тыс. руб.;</w:t>
      </w:r>
    </w:p>
    <w:p>
      <w:pPr>
        <w:pStyle w:val="Normal"/>
        <w:widowControl w:val="false"/>
        <w:ind w:firstLine="567"/>
        <w:rPr>
          <w:sz w:val="28"/>
          <w:szCs w:val="28"/>
        </w:rPr>
      </w:pPr>
      <w:r>
        <w:rPr>
          <w:sz w:val="28"/>
          <w:szCs w:val="28"/>
        </w:rPr>
        <w:t>2023 год – 22190,4 тыс. руб.;</w:t>
      </w:r>
    </w:p>
    <w:p>
      <w:pPr>
        <w:pStyle w:val="Normal"/>
        <w:widowControl w:val="false"/>
        <w:ind w:firstLine="567"/>
        <w:rPr>
          <w:sz w:val="28"/>
          <w:szCs w:val="28"/>
        </w:rPr>
      </w:pPr>
      <w:r>
        <w:rPr>
          <w:sz w:val="28"/>
          <w:szCs w:val="28"/>
        </w:rPr>
        <w:t>2024 год – 22190,4 тыс. руб.</w:t>
      </w:r>
    </w:p>
    <w:p>
      <w:pPr>
        <w:pStyle w:val="Normal"/>
        <w:ind w:firstLine="540"/>
        <w:jc w:val="both"/>
        <w:rPr/>
      </w:pPr>
      <w:r>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ind w:firstLine="540"/>
        <w:jc w:val="both"/>
        <w:rPr>
          <w:rFonts w:eastAsia="Calibri" w:eastAsiaTheme="minorHAnsi"/>
          <w:sz w:val="28"/>
          <w:szCs w:val="28"/>
          <w:lang w:eastAsia="en-US"/>
        </w:rPr>
      </w:pPr>
      <w:hyperlink r:id="rId4">
        <w:r>
          <w:rPr>
            <w:rFonts w:eastAsia="Calibri" w:eastAsiaTheme="minorHAnsi"/>
            <w:sz w:val="28"/>
            <w:szCs w:val="28"/>
            <w:lang w:eastAsia="en-US"/>
          </w:rPr>
          <w:t>План</w:t>
        </w:r>
      </w:hyperlink>
      <w:r>
        <w:rPr>
          <w:rFonts w:eastAsia="Calibri" w:eastAsiaTheme="minorHAnsi"/>
          <w:sz w:val="28"/>
          <w:szCs w:val="28"/>
          <w:lang w:eastAsia="en-US"/>
        </w:rPr>
        <w:t xml:space="preserve"> мероприятий по выполнению муниципальной программы приведен в Приложении № 2 к муниципальной программе «</w:t>
      </w:r>
      <w:r>
        <w:rPr>
          <w:sz w:val="28"/>
          <w:szCs w:val="28"/>
        </w:rPr>
        <w:t>Совершенствование социально-экономической политики и эффективности муниципального управления</w:t>
      </w:r>
      <w:r>
        <w:rPr>
          <w:rFonts w:eastAsia="Calibri" w:eastAsiaTheme="minorHAnsi"/>
          <w:sz w:val="28"/>
          <w:szCs w:val="28"/>
          <w:lang w:eastAsia="en-US"/>
        </w:rPr>
        <w:t>» на 2016-2024 годы.</w:t>
      </w:r>
    </w:p>
    <w:p>
      <w:pPr>
        <w:pStyle w:val="Normal"/>
        <w:widowControl w:val="false"/>
        <w:numPr>
          <w:ilvl w:val="0"/>
          <w:numId w:val="0"/>
        </w:numPr>
        <w:ind w:left="0" w:firstLine="9923"/>
        <w:outlineLvl w:val="1"/>
        <w:rPr/>
      </w:pPr>
      <w:bookmarkStart w:id="81" w:name="Par219"/>
      <w:bookmarkEnd w:id="81"/>
      <w:r>
        <w:rPr/>
        <w:t>Приложение №1</w:t>
      </w:r>
    </w:p>
    <w:p>
      <w:pPr>
        <w:pStyle w:val="Normal"/>
        <w:widowControl w:val="false"/>
        <w:ind w:firstLine="9923"/>
        <w:rPr/>
      </w:pPr>
      <w:r>
        <w:rPr/>
        <w:t xml:space="preserve">к муниципальной программе </w:t>
      </w:r>
    </w:p>
    <w:p>
      <w:pPr>
        <w:pStyle w:val="Normal"/>
        <w:widowControl w:val="false"/>
        <w:ind w:left="9923" w:hanging="0"/>
        <w:rPr/>
      </w:pPr>
      <w:r>
        <w:rPr/>
        <w:t>«Совершенствование социально - экономической политики  и эффективности муниципального управления»</w:t>
      </w:r>
    </w:p>
    <w:p>
      <w:pPr>
        <w:pStyle w:val="Normal"/>
        <w:widowControl w:val="false"/>
        <w:jc w:val="right"/>
        <w:rPr/>
      </w:pPr>
      <w:r>
        <w:rPr/>
      </w:r>
      <w:bookmarkStart w:id="82" w:name="Par224"/>
      <w:bookmarkStart w:id="83" w:name="Par224"/>
      <w:bookmarkEnd w:id="83"/>
    </w:p>
    <w:p>
      <w:pPr>
        <w:pStyle w:val="Normal"/>
        <w:widowControl w:val="false"/>
        <w:jc w:val="right"/>
        <w:rPr/>
      </w:pPr>
      <w:r>
        <w:rPr/>
      </w:r>
    </w:p>
    <w:p>
      <w:pPr>
        <w:pStyle w:val="Normal"/>
        <w:widowControl w:val="false"/>
        <w:jc w:val="center"/>
        <w:rPr/>
      </w:pPr>
      <w:r>
        <w:rPr/>
        <w:t>ЦЕЛИ, ЗАДАЧИ И ЦЕЛЕВЫЕ ПОКАЗАТЕЛИРЕАЛИЗАЦИИ МУНИЦИПАЛЬНОЙ ПРОГРАММЫ</w:t>
      </w:r>
    </w:p>
    <w:p>
      <w:pPr>
        <w:pStyle w:val="Normal"/>
        <w:widowControl w:val="false"/>
        <w:jc w:val="center"/>
        <w:rPr/>
      </w:pPr>
      <w:r>
        <w:rPr/>
        <w:t xml:space="preserve">«СОВЕРШЕНСТВОВАНИЕ СОЦИАЛЬНО-ЭКОНОМИЧЕСКОЙ ПОЛИТИКИ И </w:t>
      </w:r>
    </w:p>
    <w:p>
      <w:pPr>
        <w:pStyle w:val="Normal"/>
        <w:widowControl w:val="false"/>
        <w:jc w:val="center"/>
        <w:rPr>
          <w:sz w:val="28"/>
          <w:szCs w:val="28"/>
        </w:rPr>
      </w:pPr>
      <w:r>
        <w:rPr/>
        <w:t>ЭФФЕКТИВНОСТИ МУНИЦИПАЛЬНОГО УПРАВЛЕНИЯ»</w:t>
      </w:r>
    </w:p>
    <w:p>
      <w:pPr>
        <w:pStyle w:val="Normal"/>
        <w:widowControl w:val="false"/>
        <w:jc w:val="both"/>
        <w:rPr/>
      </w:pPr>
      <w:r>
        <w:rPr/>
      </w:r>
    </w:p>
    <w:tbl>
      <w:tblPr>
        <w:tblW w:w="15968" w:type="dxa"/>
        <w:jc w:val="left"/>
        <w:tblInd w:w="-492" w:type="dxa"/>
        <w:tblCellMar>
          <w:top w:w="0" w:type="dxa"/>
          <w:left w:w="75" w:type="dxa"/>
          <w:bottom w:w="0" w:type="dxa"/>
          <w:right w:w="75" w:type="dxa"/>
        </w:tblCellMar>
        <w:tblLook w:firstRow="1" w:noVBand="1" w:lastRow="0" w:firstColumn="1" w:lastColumn="0" w:noHBand="0" w:val="04a0"/>
      </w:tblPr>
      <w:tblGrid>
        <w:gridCol w:w="921"/>
        <w:gridCol w:w="4182"/>
        <w:gridCol w:w="1276"/>
        <w:gridCol w:w="851"/>
        <w:gridCol w:w="115"/>
        <w:gridCol w:w="9"/>
        <w:gridCol w:w="8"/>
        <w:gridCol w:w="575"/>
        <w:gridCol w:w="117"/>
        <w:gridCol w:w="19"/>
        <w:gridCol w:w="573"/>
        <w:gridCol w:w="851"/>
        <w:gridCol w:w="709"/>
        <w:gridCol w:w="709"/>
        <w:gridCol w:w="740"/>
        <w:gridCol w:w="624"/>
        <w:gridCol w:w="626"/>
        <w:gridCol w:w="3062"/>
      </w:tblGrid>
      <w:tr>
        <w:trPr>
          <w:tblHeader w:val="true"/>
        </w:trPr>
        <w:tc>
          <w:tcPr>
            <w:tcW w:w="921"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w:t>
            </w:r>
          </w:p>
          <w:p>
            <w:pPr>
              <w:pStyle w:val="Normal"/>
              <w:widowControl w:val="false"/>
              <w:jc w:val="center"/>
              <w:rPr>
                <w:b/>
                <w:b/>
              </w:rPr>
            </w:pPr>
            <w:r>
              <w:rPr>
                <w:b/>
                <w:sz w:val="22"/>
                <w:szCs w:val="22"/>
              </w:rPr>
              <w:t>строки</w:t>
            </w:r>
          </w:p>
        </w:tc>
        <w:tc>
          <w:tcPr>
            <w:tcW w:w="4182"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Наименование цели(целей) и задач,</w:t>
            </w:r>
          </w:p>
          <w:p>
            <w:pPr>
              <w:pStyle w:val="Normal"/>
              <w:widowControl w:val="false"/>
              <w:jc w:val="center"/>
              <w:rPr>
                <w:b/>
                <w:b/>
              </w:rPr>
            </w:pPr>
            <w:r>
              <w:rPr>
                <w:b/>
                <w:sz w:val="22"/>
                <w:szCs w:val="22"/>
              </w:rPr>
              <w:t>целевых показателей</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Единица</w:t>
            </w:r>
          </w:p>
          <w:p>
            <w:pPr>
              <w:pStyle w:val="Normal"/>
              <w:widowControl w:val="false"/>
              <w:jc w:val="center"/>
              <w:rPr>
                <w:b/>
                <w:b/>
              </w:rPr>
            </w:pPr>
            <w:r>
              <w:rPr>
                <w:b/>
                <w:sz w:val="22"/>
                <w:szCs w:val="22"/>
              </w:rPr>
              <w:t>измерения</w:t>
            </w:r>
          </w:p>
        </w:tc>
        <w:tc>
          <w:tcPr>
            <w:tcW w:w="6526" w:type="dxa"/>
            <w:gridSpan w:val="14"/>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Значение целевого показателя реализации</w:t>
            </w:r>
          </w:p>
          <w:p>
            <w:pPr>
              <w:pStyle w:val="Normal"/>
              <w:widowControl w:val="false"/>
              <w:jc w:val="center"/>
              <w:rPr>
                <w:b/>
                <w:b/>
              </w:rPr>
            </w:pPr>
            <w:r>
              <w:rPr>
                <w:b/>
                <w:sz w:val="22"/>
                <w:szCs w:val="22"/>
              </w:rPr>
              <w:t>муниципальной программы</w:t>
            </w:r>
          </w:p>
        </w:tc>
        <w:tc>
          <w:tcPr>
            <w:tcW w:w="3062"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Источникзначений</w:t>
            </w:r>
          </w:p>
          <w:p>
            <w:pPr>
              <w:pStyle w:val="Normal"/>
              <w:widowControl w:val="false"/>
              <w:jc w:val="center"/>
              <w:rPr>
                <w:b/>
                <w:b/>
              </w:rPr>
            </w:pPr>
            <w:r>
              <w:rPr>
                <w:b/>
                <w:sz w:val="22"/>
                <w:szCs w:val="22"/>
              </w:rPr>
              <w:t>показателей</w:t>
            </w:r>
          </w:p>
          <w:p>
            <w:pPr>
              <w:pStyle w:val="Normal"/>
              <w:widowControl w:val="false"/>
              <w:jc w:val="center"/>
              <w:rPr>
                <w:b/>
                <w:b/>
              </w:rPr>
            </w:pPr>
            <w:r>
              <w:fldChar w:fldCharType="begin"/>
            </w:r>
            <w:r>
              <w:rPr>
                <w:sz w:val="22"/>
                <w:b/>
                <w:szCs w:val="22"/>
              </w:rPr>
              <w:instrText> HYPERLINK "file:///D:/%D0%95%D0%A2/%D0%9F%D0%BE%D1%87%D1%82%D0%B0/%D0%9F%D0%BE%D0%BB%D0%BE%D0%B6%D0%B5%D0%BD%D0%B8%D0%B5%20%D0%BE%20%D1%80%D0%B0%D0%B7%D1%80%20%D0%9C%D0%9F%20%D0%B2%20%D0%BD%D0%BE%D0%B2%20%D1%80%D0%B5%D0%B4%D0%B0%D0%BA%D1%86%D0%B8%D0%B8.doc" \l "Par280"</w:instrText>
            </w:r>
            <w:r>
              <w:rPr>
                <w:sz w:val="22"/>
                <w:b/>
                <w:szCs w:val="22"/>
              </w:rPr>
              <w:fldChar w:fldCharType="separate"/>
            </w:r>
            <w:r>
              <w:rPr>
                <w:b/>
                <w:sz w:val="22"/>
                <w:szCs w:val="22"/>
              </w:rPr>
              <w:t>&lt;**&gt;</w:t>
            </w:r>
            <w:r>
              <w:rPr>
                <w:sz w:val="22"/>
                <w:b/>
                <w:szCs w:val="22"/>
              </w:rPr>
              <w:fldChar w:fldCharType="end"/>
            </w:r>
          </w:p>
        </w:tc>
      </w:tr>
      <w:tr>
        <w:trPr>
          <w:tblHeader w:val="true"/>
          <w:trHeight w:val="527" w:hRule="atLeast"/>
        </w:trPr>
        <w:tc>
          <w:tcPr>
            <w:tcW w:w="92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jc w:val="center"/>
              <w:rPr>
                <w:b/>
                <w:b/>
              </w:rPr>
            </w:pPr>
            <w:r>
              <w:rPr>
                <w:b/>
              </w:rPr>
            </w:r>
          </w:p>
        </w:tc>
        <w:tc>
          <w:tcPr>
            <w:tcW w:w="4182"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jc w:val="center"/>
              <w:rPr>
                <w:b/>
                <w:b/>
              </w:rPr>
            </w:pPr>
            <w:r>
              <w:rPr>
                <w:b/>
              </w:rPr>
            </w:r>
          </w:p>
        </w:tc>
        <w:tc>
          <w:tcPr>
            <w:tcW w:w="127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jc w:val="center"/>
              <w:rPr>
                <w:b/>
                <w:b/>
              </w:rPr>
            </w:pPr>
            <w:r>
              <w:rPr>
                <w:b/>
              </w:rPr>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2016 год</w:t>
            </w:r>
          </w:p>
        </w:tc>
        <w:tc>
          <w:tcPr>
            <w:tcW w:w="707" w:type="dxa"/>
            <w:gridSpan w:val="4"/>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2017 год</w:t>
            </w:r>
          </w:p>
        </w:tc>
        <w:tc>
          <w:tcPr>
            <w:tcW w:w="709" w:type="dxa"/>
            <w:gridSpan w:val="3"/>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2018 год</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2019 год</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2020 год</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2021 год</w:t>
            </w:r>
          </w:p>
        </w:tc>
        <w:tc>
          <w:tcPr>
            <w:tcW w:w="740"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2022 год</w:t>
            </w:r>
          </w:p>
        </w:tc>
        <w:tc>
          <w:tcPr>
            <w:tcW w:w="624"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2023 год</w:t>
            </w:r>
          </w:p>
        </w:tc>
        <w:tc>
          <w:tcPr>
            <w:tcW w:w="626"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2024 год</w:t>
            </w:r>
          </w:p>
        </w:tc>
        <w:tc>
          <w:tcPr>
            <w:tcW w:w="3062"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jc w:val="center"/>
              <w:rPr>
                <w:b/>
                <w:b/>
              </w:rPr>
            </w:pPr>
            <w:r>
              <w:rPr>
                <w:b/>
              </w:rPr>
            </w:r>
          </w:p>
        </w:tc>
      </w:tr>
      <w:tr>
        <w:trPr>
          <w:tblHeader w:val="true"/>
        </w:trPr>
        <w:tc>
          <w:tcPr>
            <w:tcW w:w="921"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1</w:t>
            </w:r>
          </w:p>
        </w:tc>
        <w:tc>
          <w:tcPr>
            <w:tcW w:w="4182"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2</w:t>
            </w:r>
          </w:p>
        </w:tc>
        <w:tc>
          <w:tcPr>
            <w:tcW w:w="1276"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3</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4</w:t>
            </w:r>
          </w:p>
        </w:tc>
        <w:tc>
          <w:tcPr>
            <w:tcW w:w="707" w:type="dxa"/>
            <w:gridSpan w:val="4"/>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5</w:t>
            </w:r>
          </w:p>
        </w:tc>
        <w:tc>
          <w:tcPr>
            <w:tcW w:w="709" w:type="dxa"/>
            <w:gridSpan w:val="3"/>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6</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7</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8</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9</w:t>
            </w:r>
          </w:p>
        </w:tc>
        <w:tc>
          <w:tcPr>
            <w:tcW w:w="740"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10</w:t>
            </w:r>
          </w:p>
        </w:tc>
        <w:tc>
          <w:tcPr>
            <w:tcW w:w="624"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11</w:t>
            </w:r>
          </w:p>
        </w:tc>
        <w:tc>
          <w:tcPr>
            <w:tcW w:w="626"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12</w:t>
            </w:r>
          </w:p>
        </w:tc>
        <w:tc>
          <w:tcPr>
            <w:tcW w:w="3062" w:type="dxa"/>
            <w:tcBorders>
              <w:left w:val="single" w:sz="8" w:space="0" w:color="000000"/>
              <w:bottom w:val="single" w:sz="8" w:space="0" w:color="000000"/>
              <w:right w:val="single" w:sz="8" w:space="0" w:color="000000"/>
            </w:tcBorders>
            <w:vAlign w:val="center"/>
          </w:tcPr>
          <w:p>
            <w:pPr>
              <w:pStyle w:val="Normal"/>
              <w:widowControl w:val="false"/>
              <w:jc w:val="center"/>
              <w:rPr>
                <w:b/>
                <w:b/>
              </w:rPr>
            </w:pPr>
            <w:r>
              <w:rPr>
                <w:b/>
                <w:sz w:val="22"/>
                <w:szCs w:val="22"/>
              </w:rPr>
              <w:t>13</w:t>
            </w:r>
          </w:p>
        </w:tc>
      </w:tr>
      <w:tr>
        <w:trPr/>
        <w:tc>
          <w:tcPr>
            <w:tcW w:w="921" w:type="dxa"/>
            <w:tcBorders>
              <w:left w:val="single" w:sz="8" w:space="0" w:color="000000"/>
              <w:bottom w:val="single" w:sz="8" w:space="0" w:color="000000"/>
              <w:right w:val="single" w:sz="8" w:space="0" w:color="000000"/>
            </w:tcBorders>
          </w:tcPr>
          <w:p>
            <w:pPr>
              <w:pStyle w:val="Normal"/>
              <w:widowControl w:val="false"/>
              <w:numPr>
                <w:ilvl w:val="0"/>
                <w:numId w:val="0"/>
              </w:numPr>
              <w:ind w:left="0" w:hanging="0"/>
              <w:jc w:val="center"/>
              <w:outlineLvl w:val="2"/>
              <w:rPr>
                <w:b/>
                <w:b/>
              </w:rPr>
            </w:pPr>
            <w:r>
              <w:rPr>
                <w:b/>
              </w:rPr>
              <w:t>2</w:t>
            </w:r>
          </w:p>
        </w:tc>
        <w:tc>
          <w:tcPr>
            <w:tcW w:w="15046" w:type="dxa"/>
            <w:gridSpan w:val="17"/>
            <w:tcBorders>
              <w:left w:val="single" w:sz="8" w:space="0" w:color="000000"/>
              <w:bottom w:val="single" w:sz="8" w:space="0" w:color="000000"/>
              <w:right w:val="single" w:sz="8" w:space="0" w:color="000000"/>
            </w:tcBorders>
          </w:tcPr>
          <w:p>
            <w:pPr>
              <w:pStyle w:val="Normal"/>
              <w:widowControl w:val="false"/>
              <w:numPr>
                <w:ilvl w:val="0"/>
                <w:numId w:val="0"/>
              </w:numPr>
              <w:ind w:left="-1027" w:hanging="0"/>
              <w:jc w:val="center"/>
              <w:outlineLvl w:val="2"/>
              <w:rPr>
                <w:b/>
                <w:b/>
              </w:rPr>
            </w:pPr>
            <w:r>
              <w:rPr>
                <w:b/>
              </w:rPr>
              <w:t>ПОДПРОГРАММА 1. «Развитие субъектов малого и среднего предпринимательства»</w:t>
            </w:r>
          </w:p>
        </w:tc>
      </w:tr>
      <w:tr>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3</w:t>
            </w:r>
          </w:p>
        </w:tc>
        <w:tc>
          <w:tcPr>
            <w:tcW w:w="15046" w:type="dxa"/>
            <w:gridSpan w:val="17"/>
            <w:tcBorders>
              <w:left w:val="single" w:sz="8" w:space="0" w:color="000000"/>
              <w:bottom w:val="single" w:sz="8" w:space="0" w:color="000000"/>
              <w:right w:val="single" w:sz="8" w:space="0" w:color="000000"/>
            </w:tcBorders>
          </w:tcPr>
          <w:p>
            <w:pPr>
              <w:pStyle w:val="Normal"/>
              <w:widowControl w:val="false"/>
              <w:rPr/>
            </w:pPr>
            <w:r>
              <w:rPr>
                <w:b/>
              </w:rPr>
              <w:t>Цель 1:</w:t>
            </w:r>
            <w:r>
              <w:rPr/>
              <w:t>Создание условий для развития малого и среднего предпринимательства.</w:t>
            </w:r>
          </w:p>
        </w:tc>
      </w:tr>
      <w:tr>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4</w:t>
            </w:r>
          </w:p>
        </w:tc>
        <w:tc>
          <w:tcPr>
            <w:tcW w:w="15046" w:type="dxa"/>
            <w:gridSpan w:val="17"/>
            <w:tcBorders>
              <w:left w:val="single" w:sz="8" w:space="0" w:color="000000"/>
              <w:bottom w:val="single" w:sz="8" w:space="0" w:color="000000"/>
              <w:right w:val="single" w:sz="8" w:space="0" w:color="000000"/>
            </w:tcBorders>
          </w:tcPr>
          <w:p>
            <w:pPr>
              <w:pStyle w:val="Normal"/>
              <w:widowControl w:val="false"/>
              <w:rPr/>
            </w:pPr>
            <w:r>
              <w:rPr>
                <w:b/>
              </w:rPr>
              <w:t>Задача 1.</w:t>
            </w:r>
            <w:r>
              <w:rPr/>
              <w:t>Оказание поддержки субъектам малого и среднего предпринимательства</w:t>
            </w:r>
          </w:p>
        </w:tc>
      </w:tr>
      <w:tr>
        <w:trPr>
          <w:trHeight w:val="1231" w:hRule="atLeast"/>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5</w:t>
            </w:r>
          </w:p>
        </w:tc>
        <w:tc>
          <w:tcPr>
            <w:tcW w:w="4182" w:type="dxa"/>
            <w:tcBorders>
              <w:left w:val="single" w:sz="8" w:space="0" w:color="000000"/>
              <w:bottom w:val="single" w:sz="8" w:space="0" w:color="000000"/>
              <w:right w:val="single" w:sz="8" w:space="0" w:color="000000"/>
            </w:tcBorders>
          </w:tcPr>
          <w:p>
            <w:pPr>
              <w:pStyle w:val="Normal"/>
              <w:widowControl w:val="false"/>
              <w:rPr/>
            </w:pPr>
            <w:r>
              <w:rPr/>
              <w:t xml:space="preserve">Целевой показатель 1. </w:t>
            </w:r>
          </w:p>
          <w:p>
            <w:pPr>
              <w:pStyle w:val="Normal"/>
              <w:widowControl w:val="false"/>
              <w:rPr/>
            </w:pPr>
            <w:r>
              <w:rPr/>
              <w:t>Число субъектов малого и среднего предпринимательства в расчете на 10 тыс. человек населения.</w:t>
            </w:r>
          </w:p>
        </w:tc>
        <w:tc>
          <w:tcPr>
            <w:tcW w:w="1276" w:type="dxa"/>
            <w:tcBorders>
              <w:left w:val="single" w:sz="8" w:space="0" w:color="000000"/>
              <w:bottom w:val="single" w:sz="8" w:space="0" w:color="000000"/>
              <w:right w:val="single" w:sz="8" w:space="0" w:color="000000"/>
            </w:tcBorders>
            <w:vAlign w:val="center"/>
          </w:tcPr>
          <w:p>
            <w:pPr>
              <w:pStyle w:val="Normal"/>
              <w:widowControl w:val="false"/>
              <w:jc w:val="center"/>
              <w:rPr/>
            </w:pPr>
            <w:r>
              <w:rPr/>
              <w:t>единиц</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115</w:t>
            </w:r>
          </w:p>
        </w:tc>
        <w:tc>
          <w:tcPr>
            <w:tcW w:w="707" w:type="dxa"/>
            <w:gridSpan w:val="4"/>
            <w:tcBorders>
              <w:left w:val="single" w:sz="8" w:space="0" w:color="000000"/>
              <w:bottom w:val="single" w:sz="8" w:space="0" w:color="000000"/>
              <w:right w:val="single" w:sz="8" w:space="0" w:color="000000"/>
            </w:tcBorders>
            <w:vAlign w:val="center"/>
          </w:tcPr>
          <w:p>
            <w:pPr>
              <w:pStyle w:val="Normal"/>
              <w:widowControl w:val="false"/>
              <w:jc w:val="center"/>
              <w:rPr/>
            </w:pPr>
            <w:r>
              <w:rPr/>
              <w:t>117</w:t>
            </w:r>
          </w:p>
        </w:tc>
        <w:tc>
          <w:tcPr>
            <w:tcW w:w="709" w:type="dxa"/>
            <w:gridSpan w:val="3"/>
            <w:tcBorders>
              <w:left w:val="single" w:sz="8" w:space="0" w:color="000000"/>
              <w:bottom w:val="single" w:sz="8" w:space="0" w:color="000000"/>
              <w:right w:val="single" w:sz="8" w:space="0" w:color="000000"/>
            </w:tcBorders>
            <w:vAlign w:val="center"/>
          </w:tcPr>
          <w:p>
            <w:pPr>
              <w:pStyle w:val="Normal"/>
              <w:widowControl w:val="false"/>
              <w:jc w:val="center"/>
              <w:rPr/>
            </w:pPr>
            <w:r>
              <w:rPr/>
              <w:t>119</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70</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72</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74</w:t>
            </w:r>
          </w:p>
        </w:tc>
        <w:tc>
          <w:tcPr>
            <w:tcW w:w="740" w:type="dxa"/>
            <w:tcBorders>
              <w:left w:val="single" w:sz="8" w:space="0" w:color="000000"/>
              <w:bottom w:val="single" w:sz="8" w:space="0" w:color="000000"/>
              <w:right w:val="single" w:sz="8" w:space="0" w:color="000000"/>
            </w:tcBorders>
            <w:vAlign w:val="center"/>
          </w:tcPr>
          <w:p>
            <w:pPr>
              <w:pStyle w:val="Normal"/>
              <w:widowControl w:val="false"/>
              <w:jc w:val="center"/>
              <w:rPr/>
            </w:pPr>
            <w:r>
              <w:rPr/>
              <w:t>75</w:t>
            </w:r>
          </w:p>
        </w:tc>
        <w:tc>
          <w:tcPr>
            <w:tcW w:w="624" w:type="dxa"/>
            <w:tcBorders>
              <w:left w:val="single" w:sz="8" w:space="0" w:color="000000"/>
              <w:bottom w:val="single" w:sz="8" w:space="0" w:color="000000"/>
              <w:right w:val="single" w:sz="8" w:space="0" w:color="000000"/>
            </w:tcBorders>
            <w:vAlign w:val="center"/>
          </w:tcPr>
          <w:p>
            <w:pPr>
              <w:pStyle w:val="Normal"/>
              <w:widowControl w:val="false"/>
              <w:jc w:val="center"/>
              <w:rPr/>
            </w:pPr>
            <w:r>
              <w:rPr/>
              <w:t>76</w:t>
            </w:r>
          </w:p>
        </w:tc>
        <w:tc>
          <w:tcPr>
            <w:tcW w:w="626" w:type="dxa"/>
            <w:tcBorders>
              <w:left w:val="single" w:sz="8" w:space="0" w:color="000000"/>
              <w:bottom w:val="single" w:sz="8" w:space="0" w:color="000000"/>
              <w:right w:val="single" w:sz="8" w:space="0" w:color="000000"/>
            </w:tcBorders>
            <w:vAlign w:val="center"/>
          </w:tcPr>
          <w:p>
            <w:pPr>
              <w:pStyle w:val="Normal"/>
              <w:widowControl w:val="false"/>
              <w:jc w:val="center"/>
              <w:rPr/>
            </w:pPr>
            <w:r>
              <w:rPr/>
              <w:t>77</w:t>
            </w:r>
          </w:p>
        </w:tc>
        <w:tc>
          <w:tcPr>
            <w:tcW w:w="3062" w:type="dxa"/>
            <w:tcBorders>
              <w:left w:val="single" w:sz="8" w:space="0" w:color="000000"/>
              <w:bottom w:val="single" w:sz="8" w:space="0" w:color="000000"/>
              <w:right w:val="single" w:sz="8" w:space="0" w:color="000000"/>
            </w:tcBorders>
          </w:tcPr>
          <w:p>
            <w:pPr>
              <w:pStyle w:val="Normal"/>
              <w:widowControl w:val="false"/>
              <w:rPr/>
            </w:pPr>
            <w:r>
              <w:rPr/>
              <w:t xml:space="preserve">Постановление администрации ГО ЗАТО Свободный от 17.02.2014 </w:t>
              <w:br/>
              <w:t>№ 114</w:t>
            </w:r>
          </w:p>
        </w:tc>
      </w:tr>
      <w:tr>
        <w:trPr>
          <w:trHeight w:val="1683" w:hRule="atLeast"/>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6</w:t>
            </w:r>
          </w:p>
        </w:tc>
        <w:tc>
          <w:tcPr>
            <w:tcW w:w="4182" w:type="dxa"/>
            <w:tcBorders>
              <w:left w:val="single" w:sz="8" w:space="0" w:color="000000"/>
              <w:bottom w:val="single" w:sz="8" w:space="0" w:color="000000"/>
              <w:right w:val="single" w:sz="8" w:space="0" w:color="000000"/>
            </w:tcBorders>
          </w:tcPr>
          <w:p>
            <w:pPr>
              <w:pStyle w:val="Normal"/>
              <w:widowControl w:val="false"/>
              <w:rPr/>
            </w:pPr>
            <w:r>
              <w:rP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left w:val="single" w:sz="8" w:space="0" w:color="000000"/>
              <w:bottom w:val="single" w:sz="8" w:space="0" w:color="000000"/>
              <w:right w:val="single" w:sz="8" w:space="0" w:color="000000"/>
            </w:tcBorders>
            <w:vAlign w:val="center"/>
          </w:tcPr>
          <w:p>
            <w:pPr>
              <w:pStyle w:val="Normal"/>
              <w:widowControl w:val="false"/>
              <w:jc w:val="center"/>
              <w:rPr/>
            </w:pPr>
            <w:r>
              <w:rPr/>
              <w:t>%</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11,2</w:t>
            </w:r>
          </w:p>
        </w:tc>
        <w:tc>
          <w:tcPr>
            <w:tcW w:w="707" w:type="dxa"/>
            <w:gridSpan w:val="4"/>
            <w:tcBorders>
              <w:left w:val="single" w:sz="8" w:space="0" w:color="000000"/>
              <w:bottom w:val="single" w:sz="8" w:space="0" w:color="000000"/>
              <w:right w:val="single" w:sz="8" w:space="0" w:color="000000"/>
            </w:tcBorders>
            <w:vAlign w:val="center"/>
          </w:tcPr>
          <w:p>
            <w:pPr>
              <w:pStyle w:val="Normal"/>
              <w:widowControl w:val="false"/>
              <w:jc w:val="center"/>
              <w:rPr/>
            </w:pPr>
            <w:r>
              <w:rPr/>
              <w:t>11,5</w:t>
            </w:r>
          </w:p>
        </w:tc>
        <w:tc>
          <w:tcPr>
            <w:tcW w:w="709" w:type="dxa"/>
            <w:gridSpan w:val="3"/>
            <w:tcBorders>
              <w:left w:val="single" w:sz="8" w:space="0" w:color="000000"/>
              <w:bottom w:val="single" w:sz="8" w:space="0" w:color="000000"/>
              <w:right w:val="single" w:sz="8" w:space="0" w:color="000000"/>
            </w:tcBorders>
            <w:vAlign w:val="center"/>
          </w:tcPr>
          <w:p>
            <w:pPr>
              <w:pStyle w:val="Normal"/>
              <w:widowControl w:val="false"/>
              <w:jc w:val="center"/>
              <w:rPr/>
            </w:pPr>
            <w:r>
              <w:rPr/>
              <w:t>11,8</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2</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3</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4</w:t>
            </w:r>
          </w:p>
        </w:tc>
        <w:tc>
          <w:tcPr>
            <w:tcW w:w="740" w:type="dxa"/>
            <w:tcBorders>
              <w:left w:val="single" w:sz="8" w:space="0" w:color="000000"/>
              <w:bottom w:val="single" w:sz="8" w:space="0" w:color="000000"/>
              <w:right w:val="single" w:sz="8" w:space="0" w:color="000000"/>
            </w:tcBorders>
            <w:vAlign w:val="center"/>
          </w:tcPr>
          <w:p>
            <w:pPr>
              <w:pStyle w:val="Normal"/>
              <w:widowControl w:val="false"/>
              <w:jc w:val="center"/>
              <w:rPr/>
            </w:pPr>
            <w:r>
              <w:rPr/>
              <w:t>5</w:t>
            </w:r>
          </w:p>
        </w:tc>
        <w:tc>
          <w:tcPr>
            <w:tcW w:w="624" w:type="dxa"/>
            <w:tcBorders>
              <w:left w:val="single" w:sz="8" w:space="0" w:color="000000"/>
              <w:bottom w:val="single" w:sz="8" w:space="0" w:color="000000"/>
              <w:right w:val="single" w:sz="8" w:space="0" w:color="000000"/>
            </w:tcBorders>
            <w:vAlign w:val="center"/>
          </w:tcPr>
          <w:p>
            <w:pPr>
              <w:pStyle w:val="Normal"/>
              <w:widowControl w:val="false"/>
              <w:jc w:val="center"/>
              <w:rPr/>
            </w:pPr>
            <w:r>
              <w:rPr/>
              <w:t>6</w:t>
            </w:r>
          </w:p>
        </w:tc>
        <w:tc>
          <w:tcPr>
            <w:tcW w:w="626" w:type="dxa"/>
            <w:tcBorders>
              <w:left w:val="single" w:sz="8" w:space="0" w:color="000000"/>
              <w:bottom w:val="single" w:sz="8" w:space="0" w:color="000000"/>
              <w:right w:val="single" w:sz="8" w:space="0" w:color="000000"/>
            </w:tcBorders>
            <w:vAlign w:val="center"/>
          </w:tcPr>
          <w:p>
            <w:pPr>
              <w:pStyle w:val="Normal"/>
              <w:widowControl w:val="false"/>
              <w:jc w:val="center"/>
              <w:rPr/>
            </w:pPr>
            <w:r>
              <w:rPr/>
              <w:t>7</w:t>
            </w:r>
          </w:p>
        </w:tc>
        <w:tc>
          <w:tcPr>
            <w:tcW w:w="3062" w:type="dxa"/>
            <w:tcBorders>
              <w:left w:val="single" w:sz="8" w:space="0" w:color="000000"/>
              <w:bottom w:val="single" w:sz="8" w:space="0" w:color="000000"/>
              <w:right w:val="single" w:sz="8" w:space="0" w:color="000000"/>
            </w:tcBorders>
          </w:tcPr>
          <w:p>
            <w:pPr>
              <w:pStyle w:val="Normal"/>
              <w:widowControl w:val="false"/>
              <w:rPr/>
            </w:pPr>
            <w:r>
              <w:rPr/>
              <w:t xml:space="preserve">Постановление администрации ГО ЗАТО Свободный от 17.02.2014 </w:t>
              <w:br/>
              <w:t>№ 114</w:t>
            </w:r>
          </w:p>
        </w:tc>
      </w:tr>
      <w:tr>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7</w:t>
            </w:r>
          </w:p>
        </w:tc>
        <w:tc>
          <w:tcPr>
            <w:tcW w:w="15046" w:type="dxa"/>
            <w:gridSpan w:val="17"/>
            <w:tcBorders>
              <w:left w:val="single" w:sz="8" w:space="0" w:color="000000"/>
              <w:bottom w:val="single" w:sz="8" w:space="0" w:color="000000"/>
              <w:right w:val="single" w:sz="8" w:space="0" w:color="000000"/>
            </w:tcBorders>
          </w:tcPr>
          <w:p>
            <w:pPr>
              <w:pStyle w:val="Normal"/>
              <w:widowControl w:val="false"/>
              <w:rPr/>
            </w:pPr>
            <w:r>
              <w:rPr>
                <w:b/>
              </w:rPr>
              <w:t>Задача 2.</w:t>
            </w:r>
            <w:r>
              <w:rPr/>
              <w:t xml:space="preserve"> Стимулирование развития, популяризация предпринимательской деятельности</w:t>
            </w:r>
          </w:p>
        </w:tc>
      </w:tr>
      <w:tr>
        <w:trPr/>
        <w:tc>
          <w:tcPr>
            <w:tcW w:w="921" w:type="dxa"/>
            <w:tcBorders>
              <w:left w:val="single" w:sz="8" w:space="0" w:color="000000"/>
              <w:bottom w:val="single" w:sz="8" w:space="0" w:color="000000"/>
              <w:right w:val="single" w:sz="8" w:space="0" w:color="000000"/>
            </w:tcBorders>
          </w:tcPr>
          <w:p>
            <w:pPr>
              <w:pStyle w:val="Normal"/>
              <w:widowControl w:val="false"/>
              <w:jc w:val="center"/>
              <w:rPr>
                <w:b/>
                <w:b/>
              </w:rPr>
            </w:pPr>
            <w:r>
              <w:rPr>
                <w:b/>
              </w:rPr>
              <w:t>8</w:t>
            </w:r>
          </w:p>
        </w:tc>
        <w:tc>
          <w:tcPr>
            <w:tcW w:w="4182" w:type="dxa"/>
            <w:tcBorders>
              <w:left w:val="single" w:sz="8" w:space="0" w:color="000000"/>
              <w:bottom w:val="single" w:sz="8" w:space="0" w:color="000000"/>
              <w:right w:val="single" w:sz="8" w:space="0" w:color="000000"/>
            </w:tcBorders>
          </w:tcPr>
          <w:p>
            <w:pPr>
              <w:pStyle w:val="Normal"/>
              <w:widowControl w:val="false"/>
              <w:rPr/>
            </w:pPr>
            <w:r>
              <w:rPr/>
              <w:t xml:space="preserve">Целевой показатель 3. </w:t>
            </w:r>
          </w:p>
          <w:p>
            <w:pPr>
              <w:pStyle w:val="Normal"/>
              <w:widowControl w:val="false"/>
              <w:rPr/>
            </w:pPr>
            <w:r>
              <w:rPr/>
              <w:t>Число субъектов малого и среднего предпринимательства – участников массовых мероприятий</w:t>
            </w:r>
          </w:p>
          <w:p>
            <w:pPr>
              <w:pStyle w:val="Normal"/>
              <w:widowControl w:val="false"/>
              <w:rPr/>
            </w:pPr>
            <w:r>
              <w:rPr/>
            </w:r>
          </w:p>
        </w:tc>
        <w:tc>
          <w:tcPr>
            <w:tcW w:w="1276" w:type="dxa"/>
            <w:tcBorders>
              <w:left w:val="single" w:sz="8" w:space="0" w:color="000000"/>
              <w:bottom w:val="single" w:sz="8" w:space="0" w:color="000000"/>
              <w:right w:val="single" w:sz="8" w:space="0" w:color="000000"/>
            </w:tcBorders>
            <w:vAlign w:val="center"/>
          </w:tcPr>
          <w:p>
            <w:pPr>
              <w:pStyle w:val="Normal"/>
              <w:widowControl w:val="false"/>
              <w:jc w:val="center"/>
              <w:rPr/>
            </w:pPr>
            <w:r>
              <w:rPr/>
              <w:t>единиц</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190</w:t>
            </w:r>
          </w:p>
        </w:tc>
        <w:tc>
          <w:tcPr>
            <w:tcW w:w="707" w:type="dxa"/>
            <w:gridSpan w:val="4"/>
            <w:tcBorders>
              <w:left w:val="single" w:sz="8" w:space="0" w:color="000000"/>
              <w:bottom w:val="single" w:sz="8" w:space="0" w:color="000000"/>
              <w:right w:val="single" w:sz="8" w:space="0" w:color="000000"/>
            </w:tcBorders>
            <w:vAlign w:val="center"/>
          </w:tcPr>
          <w:p>
            <w:pPr>
              <w:pStyle w:val="Normal"/>
              <w:widowControl w:val="false"/>
              <w:jc w:val="center"/>
              <w:rPr/>
            </w:pPr>
            <w:r>
              <w:rPr/>
              <w:t>195</w:t>
            </w:r>
          </w:p>
        </w:tc>
        <w:tc>
          <w:tcPr>
            <w:tcW w:w="709" w:type="dxa"/>
            <w:gridSpan w:val="3"/>
            <w:tcBorders>
              <w:left w:val="single" w:sz="8" w:space="0" w:color="000000"/>
              <w:bottom w:val="single" w:sz="8" w:space="0" w:color="000000"/>
              <w:right w:val="single" w:sz="8" w:space="0" w:color="000000"/>
            </w:tcBorders>
            <w:vAlign w:val="center"/>
          </w:tcPr>
          <w:p>
            <w:pPr>
              <w:pStyle w:val="Normal"/>
              <w:widowControl w:val="false"/>
              <w:jc w:val="center"/>
              <w:rPr/>
            </w:pPr>
            <w:r>
              <w:rPr/>
              <w:t>200</w:t>
            </w:r>
          </w:p>
        </w:tc>
        <w:tc>
          <w:tcPr>
            <w:tcW w:w="851" w:type="dxa"/>
            <w:tcBorders>
              <w:left w:val="single" w:sz="8" w:space="0" w:color="000000"/>
              <w:bottom w:val="single" w:sz="8" w:space="0" w:color="000000"/>
              <w:right w:val="single" w:sz="8" w:space="0" w:color="000000"/>
            </w:tcBorders>
            <w:vAlign w:val="center"/>
          </w:tcPr>
          <w:p>
            <w:pPr>
              <w:pStyle w:val="Normal"/>
              <w:widowControl w:val="false"/>
              <w:jc w:val="center"/>
              <w:rPr/>
            </w:pPr>
            <w:r>
              <w:rPr/>
              <w:t>170</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172</w:t>
            </w:r>
          </w:p>
        </w:tc>
        <w:tc>
          <w:tcPr>
            <w:tcW w:w="709" w:type="dxa"/>
            <w:tcBorders>
              <w:left w:val="single" w:sz="8" w:space="0" w:color="000000"/>
              <w:bottom w:val="single" w:sz="8" w:space="0" w:color="000000"/>
              <w:right w:val="single" w:sz="8" w:space="0" w:color="000000"/>
            </w:tcBorders>
            <w:vAlign w:val="center"/>
          </w:tcPr>
          <w:p>
            <w:pPr>
              <w:pStyle w:val="Normal"/>
              <w:widowControl w:val="false"/>
              <w:jc w:val="center"/>
              <w:rPr/>
            </w:pPr>
            <w:r>
              <w:rPr/>
              <w:t>173</w:t>
            </w:r>
          </w:p>
        </w:tc>
        <w:tc>
          <w:tcPr>
            <w:tcW w:w="740" w:type="dxa"/>
            <w:tcBorders>
              <w:left w:val="single" w:sz="8" w:space="0" w:color="000000"/>
              <w:bottom w:val="single" w:sz="8" w:space="0" w:color="000000"/>
              <w:right w:val="single" w:sz="8" w:space="0" w:color="000000"/>
            </w:tcBorders>
            <w:vAlign w:val="center"/>
          </w:tcPr>
          <w:p>
            <w:pPr>
              <w:pStyle w:val="Normal"/>
              <w:widowControl w:val="false"/>
              <w:jc w:val="center"/>
              <w:rPr/>
            </w:pPr>
            <w:r>
              <w:rPr/>
              <w:t>174</w:t>
            </w:r>
          </w:p>
        </w:tc>
        <w:tc>
          <w:tcPr>
            <w:tcW w:w="624" w:type="dxa"/>
            <w:tcBorders>
              <w:left w:val="single" w:sz="8" w:space="0" w:color="000000"/>
              <w:bottom w:val="single" w:sz="8" w:space="0" w:color="000000"/>
              <w:right w:val="single" w:sz="8" w:space="0" w:color="000000"/>
            </w:tcBorders>
            <w:vAlign w:val="center"/>
          </w:tcPr>
          <w:p>
            <w:pPr>
              <w:pStyle w:val="Normal"/>
              <w:widowControl w:val="false"/>
              <w:jc w:val="center"/>
              <w:rPr/>
            </w:pPr>
            <w:r>
              <w:rPr/>
              <w:t>175</w:t>
            </w:r>
          </w:p>
        </w:tc>
        <w:tc>
          <w:tcPr>
            <w:tcW w:w="626" w:type="dxa"/>
            <w:tcBorders>
              <w:left w:val="single" w:sz="8" w:space="0" w:color="000000"/>
              <w:bottom w:val="single" w:sz="8" w:space="0" w:color="000000"/>
              <w:right w:val="single" w:sz="8" w:space="0" w:color="000000"/>
            </w:tcBorders>
            <w:vAlign w:val="center"/>
          </w:tcPr>
          <w:p>
            <w:pPr>
              <w:pStyle w:val="Normal"/>
              <w:widowControl w:val="false"/>
              <w:jc w:val="center"/>
              <w:rPr/>
            </w:pPr>
            <w:r>
              <w:rPr/>
              <w:t>176</w:t>
            </w:r>
          </w:p>
        </w:tc>
        <w:tc>
          <w:tcPr>
            <w:tcW w:w="3062" w:type="dxa"/>
            <w:tcBorders>
              <w:left w:val="single" w:sz="8" w:space="0" w:color="000000"/>
              <w:bottom w:val="single" w:sz="8" w:space="0" w:color="000000"/>
              <w:right w:val="single" w:sz="8" w:space="0" w:color="000000"/>
            </w:tcBorders>
          </w:tcPr>
          <w:p>
            <w:pPr>
              <w:pStyle w:val="Normal"/>
              <w:widowControl w:val="false"/>
              <w:rPr/>
            </w:pPr>
            <w:r>
              <w:rPr/>
            </w:r>
          </w:p>
        </w:tc>
      </w:tr>
      <w:tr>
        <w:trPr>
          <w:trHeight w:val="892" w:hRule="atLeast"/>
        </w:trPr>
        <w:tc>
          <w:tcPr>
            <w:tcW w:w="921" w:type="dxa"/>
            <w:tcBorders>
              <w:left w:val="single" w:sz="8" w:space="0" w:color="000000"/>
              <w:bottom w:val="single" w:sz="4" w:space="0" w:color="000000"/>
              <w:right w:val="single" w:sz="8" w:space="0" w:color="000000"/>
            </w:tcBorders>
          </w:tcPr>
          <w:p>
            <w:pPr>
              <w:pStyle w:val="Normal"/>
              <w:widowControl w:val="false"/>
              <w:jc w:val="center"/>
              <w:rPr>
                <w:b/>
                <w:b/>
              </w:rPr>
            </w:pPr>
            <w:r>
              <w:rPr>
                <w:b/>
              </w:rPr>
              <w:t>9</w:t>
            </w:r>
          </w:p>
        </w:tc>
        <w:tc>
          <w:tcPr>
            <w:tcW w:w="4182" w:type="dxa"/>
            <w:tcBorders>
              <w:left w:val="single" w:sz="8" w:space="0" w:color="000000"/>
              <w:bottom w:val="single" w:sz="4" w:space="0" w:color="000000"/>
              <w:right w:val="single" w:sz="8" w:space="0" w:color="000000"/>
            </w:tcBorders>
          </w:tcPr>
          <w:p>
            <w:pPr>
              <w:pStyle w:val="Normal"/>
              <w:widowControl w:val="false"/>
              <w:rPr/>
            </w:pPr>
            <w:r>
              <w:rPr/>
              <w:t>Целевой  показатель 4. Число граждан – участников массовых мероприятий</w:t>
            </w:r>
          </w:p>
          <w:p>
            <w:pPr>
              <w:pStyle w:val="Normal"/>
              <w:widowControl w:val="false"/>
              <w:rPr/>
            </w:pPr>
            <w:r>
              <w:rPr/>
            </w:r>
          </w:p>
        </w:tc>
        <w:tc>
          <w:tcPr>
            <w:tcW w:w="1276" w:type="dxa"/>
            <w:tcBorders>
              <w:left w:val="single" w:sz="8" w:space="0" w:color="000000"/>
              <w:bottom w:val="single" w:sz="4" w:space="0" w:color="000000"/>
              <w:right w:val="single" w:sz="8" w:space="0" w:color="000000"/>
            </w:tcBorders>
            <w:vAlign w:val="center"/>
          </w:tcPr>
          <w:p>
            <w:pPr>
              <w:pStyle w:val="Normal"/>
              <w:widowControl w:val="false"/>
              <w:jc w:val="center"/>
              <w:rPr/>
            </w:pPr>
            <w:r>
              <w:rPr/>
              <w:t>единиц</w:t>
            </w:r>
          </w:p>
        </w:tc>
        <w:tc>
          <w:tcPr>
            <w:tcW w:w="851" w:type="dxa"/>
            <w:tcBorders>
              <w:left w:val="single" w:sz="8" w:space="0" w:color="000000"/>
              <w:bottom w:val="single" w:sz="4" w:space="0" w:color="000000"/>
              <w:right w:val="single" w:sz="8" w:space="0" w:color="000000"/>
            </w:tcBorders>
            <w:vAlign w:val="center"/>
          </w:tcPr>
          <w:p>
            <w:pPr>
              <w:pStyle w:val="Normal"/>
              <w:widowControl w:val="false"/>
              <w:jc w:val="center"/>
              <w:rPr/>
            </w:pPr>
            <w:r>
              <w:rPr/>
              <w:t>40</w:t>
            </w:r>
          </w:p>
        </w:tc>
        <w:tc>
          <w:tcPr>
            <w:tcW w:w="707" w:type="dxa"/>
            <w:gridSpan w:val="4"/>
            <w:tcBorders>
              <w:left w:val="single" w:sz="8" w:space="0" w:color="000000"/>
              <w:bottom w:val="single" w:sz="4" w:space="0" w:color="000000"/>
              <w:right w:val="single" w:sz="8" w:space="0" w:color="000000"/>
            </w:tcBorders>
            <w:vAlign w:val="center"/>
          </w:tcPr>
          <w:p>
            <w:pPr>
              <w:pStyle w:val="Normal"/>
              <w:widowControl w:val="false"/>
              <w:jc w:val="center"/>
              <w:rPr/>
            </w:pPr>
            <w:r>
              <w:rPr/>
              <w:t>45</w:t>
            </w:r>
          </w:p>
        </w:tc>
        <w:tc>
          <w:tcPr>
            <w:tcW w:w="709" w:type="dxa"/>
            <w:gridSpan w:val="3"/>
            <w:tcBorders>
              <w:left w:val="single" w:sz="8" w:space="0" w:color="000000"/>
              <w:bottom w:val="single" w:sz="4" w:space="0" w:color="000000"/>
              <w:right w:val="single" w:sz="8" w:space="0" w:color="000000"/>
            </w:tcBorders>
            <w:vAlign w:val="center"/>
          </w:tcPr>
          <w:p>
            <w:pPr>
              <w:pStyle w:val="Normal"/>
              <w:widowControl w:val="false"/>
              <w:jc w:val="center"/>
              <w:rPr/>
            </w:pPr>
            <w:r>
              <w:rPr/>
              <w:t>50</w:t>
            </w:r>
          </w:p>
        </w:tc>
        <w:tc>
          <w:tcPr>
            <w:tcW w:w="851" w:type="dxa"/>
            <w:tcBorders>
              <w:left w:val="single" w:sz="8" w:space="0" w:color="000000"/>
              <w:bottom w:val="single" w:sz="4" w:space="0" w:color="000000"/>
              <w:right w:val="single" w:sz="8" w:space="0" w:color="000000"/>
            </w:tcBorders>
            <w:vAlign w:val="center"/>
          </w:tcPr>
          <w:p>
            <w:pPr>
              <w:pStyle w:val="Normal"/>
              <w:widowControl w:val="false"/>
              <w:jc w:val="center"/>
              <w:rPr/>
            </w:pPr>
            <w:r>
              <w:rPr/>
              <w:t>55</w:t>
            </w:r>
          </w:p>
        </w:tc>
        <w:tc>
          <w:tcPr>
            <w:tcW w:w="709" w:type="dxa"/>
            <w:tcBorders>
              <w:left w:val="single" w:sz="8" w:space="0" w:color="000000"/>
              <w:bottom w:val="single" w:sz="4" w:space="0" w:color="000000"/>
              <w:right w:val="single" w:sz="8" w:space="0" w:color="000000"/>
            </w:tcBorders>
            <w:vAlign w:val="center"/>
          </w:tcPr>
          <w:p>
            <w:pPr>
              <w:pStyle w:val="Normal"/>
              <w:widowControl w:val="false"/>
              <w:jc w:val="center"/>
              <w:rPr/>
            </w:pPr>
            <w:r>
              <w:rPr/>
              <w:t>60</w:t>
            </w:r>
          </w:p>
        </w:tc>
        <w:tc>
          <w:tcPr>
            <w:tcW w:w="709" w:type="dxa"/>
            <w:tcBorders>
              <w:left w:val="single" w:sz="8" w:space="0" w:color="000000"/>
              <w:bottom w:val="single" w:sz="4" w:space="0" w:color="000000"/>
              <w:right w:val="single" w:sz="8" w:space="0" w:color="000000"/>
            </w:tcBorders>
            <w:vAlign w:val="center"/>
          </w:tcPr>
          <w:p>
            <w:pPr>
              <w:pStyle w:val="Normal"/>
              <w:widowControl w:val="false"/>
              <w:jc w:val="center"/>
              <w:rPr/>
            </w:pPr>
            <w:r>
              <w:rPr/>
              <w:t>70</w:t>
            </w:r>
          </w:p>
        </w:tc>
        <w:tc>
          <w:tcPr>
            <w:tcW w:w="740" w:type="dxa"/>
            <w:tcBorders>
              <w:left w:val="single" w:sz="8" w:space="0" w:color="000000"/>
              <w:bottom w:val="single" w:sz="4" w:space="0" w:color="000000"/>
              <w:right w:val="single" w:sz="8" w:space="0" w:color="000000"/>
            </w:tcBorders>
            <w:vAlign w:val="center"/>
          </w:tcPr>
          <w:p>
            <w:pPr>
              <w:pStyle w:val="Normal"/>
              <w:widowControl w:val="false"/>
              <w:jc w:val="center"/>
              <w:rPr/>
            </w:pPr>
            <w:r>
              <w:rPr/>
              <w:t>80</w:t>
            </w:r>
          </w:p>
        </w:tc>
        <w:tc>
          <w:tcPr>
            <w:tcW w:w="624" w:type="dxa"/>
            <w:tcBorders>
              <w:left w:val="single" w:sz="8" w:space="0" w:color="000000"/>
              <w:bottom w:val="single" w:sz="4" w:space="0" w:color="000000"/>
              <w:right w:val="single" w:sz="8" w:space="0" w:color="000000"/>
            </w:tcBorders>
            <w:vAlign w:val="center"/>
          </w:tcPr>
          <w:p>
            <w:pPr>
              <w:pStyle w:val="Normal"/>
              <w:widowControl w:val="false"/>
              <w:jc w:val="center"/>
              <w:rPr/>
            </w:pPr>
            <w:r>
              <w:rPr/>
              <w:t>90</w:t>
            </w:r>
          </w:p>
        </w:tc>
        <w:tc>
          <w:tcPr>
            <w:tcW w:w="626" w:type="dxa"/>
            <w:tcBorders>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3062" w:type="dxa"/>
            <w:tcBorders>
              <w:left w:val="single" w:sz="8" w:space="0" w:color="000000"/>
              <w:bottom w:val="single" w:sz="4" w:space="0" w:color="000000"/>
              <w:right w:val="single" w:sz="8" w:space="0" w:color="000000"/>
            </w:tcBorders>
          </w:tcPr>
          <w:p>
            <w:pPr>
              <w:pStyle w:val="Normal"/>
              <w:widowControl w:val="false"/>
              <w:rPr/>
            </w:pPr>
            <w:r>
              <w:rPr/>
            </w:r>
          </w:p>
        </w:tc>
      </w:tr>
      <w:tr>
        <w:trPr>
          <w:trHeight w:val="375"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10</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ind w:left="-1027" w:hanging="0"/>
              <w:jc w:val="center"/>
              <w:rPr>
                <w:b/>
                <w:b/>
              </w:rPr>
            </w:pPr>
            <w:r>
              <w:rPr>
                <w:b/>
              </w:rPr>
              <w:t>ПОДПРОГРАММА 2. «Управление муниципальной собственностью»</w:t>
            </w:r>
          </w:p>
        </w:tc>
      </w:tr>
      <w:tr>
        <w:trPr>
          <w:trHeight w:val="411"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11</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jc w:val="both"/>
              <w:rPr/>
            </w:pPr>
            <w:r>
              <w:rPr>
                <w:b/>
              </w:rPr>
              <w:t>Цель2:</w:t>
            </w:r>
            <w:r>
              <w:rPr/>
              <w:t xml:space="preserve">Повышение эффективности управления муниципальным имуществом. </w:t>
            </w:r>
          </w:p>
        </w:tc>
      </w:tr>
      <w:tr>
        <w:trPr>
          <w:trHeight w:val="405"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12</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jc w:val="both"/>
              <w:rPr/>
            </w:pPr>
            <w:r>
              <w:rPr>
                <w:b/>
              </w:rPr>
              <w:t>Задача 3.</w:t>
            </w:r>
            <w:r>
              <w:rPr/>
              <w:t>Создание условий для исполнения полномочий органами местного самоуправления.</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13</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5. Количество земельных участков, по которым проведены работы по установлению координат земельных участков</w:t>
            </w:r>
          </w:p>
          <w:p>
            <w:pPr>
              <w:pStyle w:val="Normal"/>
              <w:widowControl w:val="false"/>
              <w:rPr>
                <w:b/>
                <w:b/>
                <w:sz w:val="20"/>
                <w:szCs w:val="20"/>
              </w:rPr>
            </w:pPr>
            <w:r>
              <w:rPr>
                <w:b/>
                <w:sz w:val="20"/>
                <w:szCs w:val="20"/>
              </w:rPr>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штук</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80</w:t>
            </w:r>
          </w:p>
        </w:tc>
        <w:tc>
          <w:tcPr>
            <w:tcW w:w="707"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14</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rPr/>
            </w:pPr>
            <w:r>
              <w:rPr>
                <w:b/>
              </w:rPr>
              <w:t>Задача 4</w:t>
            </w:r>
            <w:r>
              <w:rPr/>
              <w:t xml:space="preserve"> Повышение доходности от использования и реализации муниципального имущества.</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15</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 xml:space="preserve">Целевой показатель 6.Выполнение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процентов</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7"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16</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rPr/>
            </w:pPr>
            <w:r>
              <w:rPr>
                <w:b/>
              </w:rPr>
              <w:t>Задача 5.</w:t>
            </w:r>
            <w:r>
              <w:rPr/>
              <w:t>Обеспечение содержания и сохранности объектов муниципальной собственности.</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17</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7.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процентов</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7"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100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18</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rPr/>
            </w:pPr>
            <w:r>
              <w:rPr>
                <w:b/>
              </w:rPr>
              <w:t>Задача 6.</w:t>
            </w:r>
            <w:r>
              <w:rPr/>
              <w:t xml:space="preserve"> Увеличение количества объектов муниципальной недвижимости, прошедших государственную регистрацию прав.</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19</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8. Количество объектов недвижимого имущества, находящегося в муниципальной собственности подлежащих государственной регистрации</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единиц</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3</w:t>
            </w:r>
          </w:p>
        </w:tc>
        <w:tc>
          <w:tcPr>
            <w:tcW w:w="707"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709"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20</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9.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единиц</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2</w:t>
            </w:r>
          </w:p>
        </w:tc>
        <w:tc>
          <w:tcPr>
            <w:tcW w:w="707"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21</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ind w:left="-1027" w:hanging="0"/>
              <w:jc w:val="center"/>
              <w:rPr/>
            </w:pPr>
            <w:r>
              <w:rPr>
                <w:b/>
              </w:rPr>
              <w:t>ПОДПРОГРАММА 3. «Развитие информационного общества»</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22</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jc w:val="both"/>
              <w:rPr/>
            </w:pPr>
            <w:r>
              <w:rPr>
                <w:b/>
              </w:rPr>
              <w:t>Цель3.</w:t>
            </w:r>
            <w:r>
              <w:rPr/>
              <w:t xml:space="preserve"> Совершенствование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23</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jc w:val="both"/>
              <w:rPr/>
            </w:pPr>
            <w:r>
              <w:rPr>
                <w:b/>
              </w:rPr>
              <w:t xml:space="preserve">Задача 7. </w:t>
            </w:r>
            <w:r>
              <w:rPr/>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24</w:t>
            </w:r>
          </w:p>
        </w:tc>
        <w:tc>
          <w:tcPr>
            <w:tcW w:w="4182" w:type="dxa"/>
            <w:tcBorders>
              <w:top w:val="single" w:sz="4" w:space="0" w:color="000000"/>
              <w:left w:val="single" w:sz="8" w:space="0" w:color="000000"/>
              <w:bottom w:val="single" w:sz="4" w:space="0" w:color="000000"/>
              <w:right w:val="single" w:sz="8" w:space="0" w:color="000000"/>
            </w:tcBorders>
          </w:tcPr>
          <w:p>
            <w:pPr>
              <w:pStyle w:val="Normal"/>
              <w:rPr/>
            </w:pPr>
            <w:r>
              <w:rPr/>
              <w:t xml:space="preserve">Целевой показатель </w:t>
            </w:r>
            <w:r>
              <w:rPr>
                <w:sz w:val="26"/>
                <w:szCs w:val="26"/>
              </w:rPr>
              <w:t>10.</w:t>
            </w:r>
            <w:r>
              <w:rPr/>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w:t>
            </w:r>
          </w:p>
        </w:tc>
        <w:tc>
          <w:tcPr>
            <w:tcW w:w="966" w:type="dxa"/>
            <w:gridSpan w:val="2"/>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709" w:type="dxa"/>
            <w:gridSpan w:val="4"/>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592" w:type="dxa"/>
            <w:gridSpan w:val="2"/>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85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709"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740"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624"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626"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100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b/>
                <w:b/>
              </w:rPr>
            </w:pPr>
            <w:r>
              <w:rPr>
                <w:b/>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25</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jc w:val="both"/>
              <w:rPr/>
            </w:pPr>
            <w:r>
              <w:rPr>
                <w:b/>
              </w:rPr>
              <w:t>Задача 8.</w:t>
            </w:r>
            <w:r>
              <w:rPr/>
              <w:t>Повышение качества и доступности предоставления государственных и муниципальных услуг</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26</w:t>
            </w:r>
          </w:p>
        </w:tc>
        <w:tc>
          <w:tcPr>
            <w:tcW w:w="4182" w:type="dxa"/>
            <w:tcBorders>
              <w:top w:val="single" w:sz="4" w:space="0" w:color="000000"/>
              <w:left w:val="single" w:sz="8" w:space="0" w:color="000000"/>
              <w:bottom w:val="single" w:sz="4" w:space="0" w:color="000000"/>
              <w:right w:val="single" w:sz="8" w:space="0" w:color="000000"/>
            </w:tcBorders>
          </w:tcPr>
          <w:p>
            <w:pPr>
              <w:pStyle w:val="Normal"/>
              <w:rPr/>
            </w:pPr>
            <w:r>
              <w:rPr/>
              <w:t>Целевой показатель 11. Наличие центра общественного доступа к сети Интернет на территории городского округа</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975" w:type="dxa"/>
            <w:gridSpan w:val="3"/>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w:t>
            </w:r>
          </w:p>
        </w:tc>
        <w:tc>
          <w:tcPr>
            <w:tcW w:w="719" w:type="dxa"/>
            <w:gridSpan w:val="4"/>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27</w:t>
            </w:r>
          </w:p>
        </w:tc>
        <w:tc>
          <w:tcPr>
            <w:tcW w:w="4182" w:type="dxa"/>
            <w:tcBorders>
              <w:top w:val="single" w:sz="4" w:space="0" w:color="000000"/>
              <w:left w:val="single" w:sz="8" w:space="0" w:color="000000"/>
              <w:bottom w:val="single" w:sz="4" w:space="0" w:color="000000"/>
              <w:right w:val="single" w:sz="8" w:space="0" w:color="000000"/>
            </w:tcBorders>
          </w:tcPr>
          <w:p>
            <w:pPr>
              <w:pStyle w:val="Normal"/>
              <w:ind w:firstLine="570"/>
              <w:jc w:val="both"/>
              <w:rPr/>
            </w:pPr>
            <w:r>
              <w:rPr/>
              <w:t>Целевой показатель 12. «Посещаемость официального сайта администрации городского округа ЗАТО Свободный»</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чел./мес.</w:t>
            </w:r>
          </w:p>
        </w:tc>
        <w:tc>
          <w:tcPr>
            <w:tcW w:w="975" w:type="dxa"/>
            <w:gridSpan w:val="3"/>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rPr>
            </w:pPr>
            <w:r>
              <w:rPr>
                <w:rFonts w:cs="Times New Roman" w:ascii="Times New Roman" w:hAnsi="Times New Roman"/>
              </w:rPr>
              <w:t>2200</w:t>
            </w:r>
          </w:p>
        </w:tc>
        <w:tc>
          <w:tcPr>
            <w:tcW w:w="719" w:type="dxa"/>
            <w:gridSpan w:val="4"/>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rPr>
            </w:pPr>
            <w:r>
              <w:rPr>
                <w:rFonts w:cs="Times New Roman" w:ascii="Times New Roman" w:hAnsi="Times New Roman"/>
              </w:rPr>
              <w:t>2310</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rPr>
            </w:pPr>
            <w:r>
              <w:rPr>
                <w:rFonts w:cs="Times New Roman" w:ascii="Times New Roman" w:hAnsi="Times New Roman"/>
              </w:rPr>
              <w:t>2320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rPr>
            </w:pPr>
            <w:r>
              <w:rPr>
                <w:rFonts w:cs="Times New Roman" w:ascii="Times New Roman" w:hAnsi="Times New Roman"/>
              </w:rPr>
              <w:t>2330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rPr>
            </w:pPr>
            <w:r>
              <w:rPr>
                <w:rFonts w:cs="Times New Roman" w:ascii="Times New Roman" w:hAnsi="Times New Roman"/>
              </w:rPr>
              <w:t>2340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rPr>
            </w:pPr>
            <w:r>
              <w:rPr>
                <w:rFonts w:cs="Times New Roman" w:ascii="Times New Roman" w:hAnsi="Times New Roman"/>
              </w:rPr>
              <w:t>2350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rPr>
            </w:pPr>
            <w:r>
              <w:rPr>
                <w:rFonts w:cs="Times New Roman" w:ascii="Times New Roman" w:hAnsi="Times New Roman"/>
              </w:rPr>
              <w:t>2360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18"/>
                <w:szCs w:val="18"/>
              </w:rPr>
            </w:pPr>
            <w:r>
              <w:rPr>
                <w:rFonts w:cs="Times New Roman" w:ascii="Times New Roman" w:hAnsi="Times New Roman"/>
                <w:sz w:val="18"/>
                <w:szCs w:val="18"/>
              </w:rPr>
              <w:t>2370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18"/>
                <w:szCs w:val="18"/>
              </w:rPr>
            </w:pPr>
            <w:r>
              <w:rPr>
                <w:rFonts w:cs="Times New Roman" w:ascii="Times New Roman" w:hAnsi="Times New Roman"/>
                <w:sz w:val="18"/>
                <w:szCs w:val="18"/>
              </w:rPr>
              <w:t>2380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28</w:t>
            </w:r>
          </w:p>
        </w:tc>
        <w:tc>
          <w:tcPr>
            <w:tcW w:w="4182" w:type="dxa"/>
            <w:tcBorders>
              <w:top w:val="single" w:sz="4" w:space="0" w:color="000000"/>
              <w:left w:val="single" w:sz="8" w:space="0" w:color="000000"/>
              <w:bottom w:val="single" w:sz="4" w:space="0" w:color="000000"/>
              <w:right w:val="single" w:sz="8" w:space="0" w:color="000000"/>
            </w:tcBorders>
          </w:tcPr>
          <w:p>
            <w:pPr>
              <w:pStyle w:val="Normal"/>
              <w:rPr/>
            </w:pPr>
            <w:r>
              <w:rPr/>
              <w:t>Целевой показатель 13. Уровень удовлетворенности граждан качеством  предоставления муниципальных услуг</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975" w:type="dxa"/>
            <w:gridSpan w:val="3"/>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80</w:t>
            </w:r>
          </w:p>
        </w:tc>
        <w:tc>
          <w:tcPr>
            <w:tcW w:w="719" w:type="dxa"/>
            <w:gridSpan w:val="4"/>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85</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90</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90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90</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90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90</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90</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100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 xml:space="preserve">Постановление администрации ГО ЗАТО Свободный от 18.06.2014 </w:t>
              <w:br/>
              <w:t>№ 406</w:t>
            </w:r>
          </w:p>
        </w:tc>
      </w:tr>
      <w:tr>
        <w:trPr>
          <w:trHeight w:val="1190"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29</w:t>
            </w:r>
          </w:p>
        </w:tc>
        <w:tc>
          <w:tcPr>
            <w:tcW w:w="4182" w:type="dxa"/>
            <w:tcBorders>
              <w:top w:val="single" w:sz="4" w:space="0" w:color="000000"/>
              <w:left w:val="single" w:sz="8" w:space="0" w:color="000000"/>
              <w:bottom w:val="single" w:sz="4" w:space="0" w:color="000000"/>
              <w:right w:val="single" w:sz="8" w:space="0" w:color="000000"/>
            </w:tcBorders>
          </w:tcPr>
          <w:p>
            <w:pPr>
              <w:pStyle w:val="NoSpacing"/>
              <w:rPr/>
            </w:pPr>
            <w:r>
              <w:rPr/>
              <w:t>Целевой показатель 14. Сокращение времени ожидания в очереди при обращении заявителя для получения муниципальной услуги</w:t>
            </w:r>
          </w:p>
          <w:p>
            <w:pPr>
              <w:pStyle w:val="Normal"/>
              <w:rPr/>
            </w:pPr>
            <w:r>
              <w:rPr/>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мин</w:t>
            </w:r>
          </w:p>
        </w:tc>
        <w:tc>
          <w:tcPr>
            <w:tcW w:w="975" w:type="dxa"/>
            <w:gridSpan w:val="3"/>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w:t>
            </w:r>
          </w:p>
        </w:tc>
        <w:tc>
          <w:tcPr>
            <w:tcW w:w="719" w:type="dxa"/>
            <w:gridSpan w:val="4"/>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ConsPlusNormal1"/>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 xml:space="preserve">Постановление администрации ГО ЗАТО Свободный от 18.06.2014 </w:t>
              <w:br/>
              <w:t>№ 406</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30</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numPr>
                <w:ilvl w:val="0"/>
                <w:numId w:val="0"/>
              </w:numPr>
              <w:ind w:left="0" w:hanging="0"/>
              <w:jc w:val="center"/>
              <w:outlineLvl w:val="2"/>
              <w:rPr>
                <w:b/>
                <w:b/>
              </w:rPr>
            </w:pPr>
            <w:r>
              <w:rPr>
                <w:b/>
              </w:rPr>
              <w:t>ПОДПРОГРАММА 4. «Создание условий для обеспечения выполнения функций органами местного самоуправления»</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31</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rmal"/>
              <w:widowControl w:val="false"/>
              <w:jc w:val="both"/>
              <w:rPr/>
            </w:pPr>
            <w:r>
              <w:rPr>
                <w:b/>
              </w:rPr>
              <w:t>Цель 4:</w:t>
            </w:r>
            <w:r>
              <w:rPr/>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32</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Spacing"/>
              <w:rPr/>
            </w:pPr>
            <w:r>
              <w:rPr>
                <w:b/>
              </w:rPr>
              <w:t>Задача 9.</w:t>
            </w:r>
            <w:r>
              <w:rPr/>
              <w:t>Создание условий для повышения эффективности деятельности органов местного самоуправления</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33</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15.</w:t>
            </w:r>
          </w:p>
          <w:p>
            <w:pPr>
              <w:pStyle w:val="Normal"/>
              <w:widowControl w:val="false"/>
              <w:rPr/>
            </w:pPr>
            <w:r>
              <w:rPr/>
              <w:t>Доля населения, удовлетворенного деятельностью органов местного самоуправления</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w:t>
            </w:r>
          </w:p>
        </w:tc>
        <w:tc>
          <w:tcPr>
            <w:tcW w:w="983"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65</w:t>
            </w:r>
          </w:p>
        </w:tc>
        <w:tc>
          <w:tcPr>
            <w:tcW w:w="711"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66</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67</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58</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59</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60</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61</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62</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63</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 xml:space="preserve">Постановление администрации ГО ЗАТО Свободный от 17.02.2014 </w:t>
              <w:br/>
              <w:t>№ 114</w:t>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34</w:t>
            </w:r>
          </w:p>
        </w:tc>
        <w:tc>
          <w:tcPr>
            <w:tcW w:w="15046" w:type="dxa"/>
            <w:gridSpan w:val="17"/>
            <w:tcBorders>
              <w:top w:val="single" w:sz="4" w:space="0" w:color="000000"/>
              <w:left w:val="single" w:sz="8" w:space="0" w:color="000000"/>
              <w:bottom w:val="single" w:sz="4" w:space="0" w:color="000000"/>
              <w:right w:val="single" w:sz="8" w:space="0" w:color="000000"/>
            </w:tcBorders>
          </w:tcPr>
          <w:p>
            <w:pPr>
              <w:pStyle w:val="NoSpacing"/>
              <w:jc w:val="both"/>
              <w:rPr/>
            </w:pPr>
            <w:r>
              <w:rPr>
                <w:b/>
              </w:rPr>
              <w:t>Задача 10.</w:t>
            </w:r>
            <w:r>
              <w:rPr/>
              <w:t>Создание условий для развития кадрового потенциала.</w:t>
            </w:r>
          </w:p>
        </w:tc>
      </w:tr>
      <w:tr>
        <w:trPr>
          <w:trHeight w:val="1821"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35</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16. Количество обучающих семинаров, в которых приняли участие выборные должностные лица и муниципальные служащие органов местного самоуправления.</w:t>
            </w:r>
          </w:p>
        </w:tc>
        <w:tc>
          <w:tcPr>
            <w:tcW w:w="127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шт.</w:t>
            </w:r>
          </w:p>
        </w:tc>
        <w:tc>
          <w:tcPr>
            <w:tcW w:w="983" w:type="dxa"/>
            <w:gridSpan w:val="4"/>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3</w:t>
            </w:r>
          </w:p>
        </w:tc>
        <w:tc>
          <w:tcPr>
            <w:tcW w:w="711" w:type="dxa"/>
            <w:gridSpan w:val="3"/>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3</w:t>
            </w:r>
          </w:p>
        </w:tc>
        <w:tc>
          <w:tcPr>
            <w:tcW w:w="573"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3</w:t>
            </w:r>
          </w:p>
        </w:tc>
        <w:tc>
          <w:tcPr>
            <w:tcW w:w="851"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709"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74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62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62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jc w:val="center"/>
              <w:rPr/>
            </w:pPr>
            <w:r>
              <w:rPr/>
              <w:t>Не менее 5</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r>
          </w:p>
        </w:tc>
      </w:tr>
      <w:tr>
        <w:trPr>
          <w:trHeight w:val="424" w:hRule="atLeast"/>
        </w:trPr>
        <w:tc>
          <w:tcPr>
            <w:tcW w:w="92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b/>
                <w:b/>
              </w:rPr>
            </w:pPr>
            <w:r>
              <w:rPr>
                <w:b/>
              </w:rPr>
              <w:t>36</w:t>
            </w:r>
          </w:p>
        </w:tc>
        <w:tc>
          <w:tcPr>
            <w:tcW w:w="4182" w:type="dxa"/>
            <w:tcBorders>
              <w:top w:val="single" w:sz="4" w:space="0" w:color="000000"/>
              <w:left w:val="single" w:sz="8" w:space="0" w:color="000000"/>
              <w:bottom w:val="single" w:sz="4" w:space="0" w:color="000000"/>
              <w:right w:val="single" w:sz="8" w:space="0" w:color="000000"/>
            </w:tcBorders>
          </w:tcPr>
          <w:p>
            <w:pPr>
              <w:pStyle w:val="Normal"/>
              <w:widowControl w:val="false"/>
              <w:rPr/>
            </w:pPr>
            <w:r>
              <w:rPr/>
              <w:t>Целевой показатель 17. Количество выборных должностных ли и муниципальных служащих органов местного самоуправления, получивших дополнительное профессиональное образование.</w:t>
            </w:r>
          </w:p>
        </w:tc>
        <w:tc>
          <w:tcPr>
            <w:tcW w:w="1276"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чел.</w:t>
            </w:r>
          </w:p>
        </w:tc>
        <w:tc>
          <w:tcPr>
            <w:tcW w:w="983" w:type="dxa"/>
            <w:gridSpan w:val="4"/>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5</w:t>
            </w:r>
          </w:p>
        </w:tc>
        <w:tc>
          <w:tcPr>
            <w:tcW w:w="711" w:type="dxa"/>
            <w:gridSpan w:val="3"/>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5</w:t>
            </w:r>
          </w:p>
        </w:tc>
        <w:tc>
          <w:tcPr>
            <w:tcW w:w="573"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5</w:t>
            </w:r>
          </w:p>
        </w:tc>
        <w:tc>
          <w:tcPr>
            <w:tcW w:w="851"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15</w:t>
            </w:r>
          </w:p>
        </w:tc>
        <w:tc>
          <w:tcPr>
            <w:tcW w:w="709"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20</w:t>
            </w:r>
          </w:p>
        </w:tc>
        <w:tc>
          <w:tcPr>
            <w:tcW w:w="709"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20</w:t>
            </w:r>
          </w:p>
        </w:tc>
        <w:tc>
          <w:tcPr>
            <w:tcW w:w="740"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20</w:t>
            </w:r>
          </w:p>
        </w:tc>
        <w:tc>
          <w:tcPr>
            <w:tcW w:w="624"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20</w:t>
            </w:r>
          </w:p>
        </w:tc>
        <w:tc>
          <w:tcPr>
            <w:tcW w:w="626"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t>Не менее 20</w:t>
            </w:r>
          </w:p>
        </w:tc>
        <w:tc>
          <w:tcPr>
            <w:tcW w:w="3062" w:type="dxa"/>
            <w:tcBorders>
              <w:top w:val="single" w:sz="4" w:space="0" w:color="000000"/>
              <w:left w:val="single" w:sz="8" w:space="0" w:color="000000"/>
              <w:bottom w:val="single" w:sz="4" w:space="0" w:color="000000"/>
              <w:right w:val="single" w:sz="8" w:space="0" w:color="000000"/>
            </w:tcBorders>
          </w:tcPr>
          <w:p>
            <w:pPr>
              <w:pStyle w:val="Normal"/>
              <w:widowControl w:val="false"/>
              <w:jc w:val="center"/>
              <w:rPr/>
            </w:pPr>
            <w:r>
              <w:rPr/>
            </w:r>
          </w:p>
        </w:tc>
      </w:tr>
    </w:tbl>
    <w:p>
      <w:pPr>
        <w:pStyle w:val="Normal"/>
        <w:spacing w:lineRule="auto" w:line="276"/>
        <w:ind w:firstLine="9923"/>
        <w:rPr/>
      </w:pPr>
      <w:r>
        <w:br w:type="page"/>
      </w:r>
      <w:r>
        <w:rPr/>
        <w:t>Приложение № 3</w:t>
      </w:r>
    </w:p>
    <w:p>
      <w:pPr>
        <w:pStyle w:val="Normal"/>
        <w:widowControl w:val="false"/>
        <w:ind w:firstLine="9923"/>
        <w:rPr/>
      </w:pPr>
      <w:r>
        <w:rPr/>
        <w:t xml:space="preserve">к муниципальной программе </w:t>
      </w:r>
    </w:p>
    <w:p>
      <w:pPr>
        <w:pStyle w:val="Normal"/>
        <w:widowControl w:val="false"/>
        <w:ind w:left="9923" w:hanging="0"/>
        <w:rPr/>
      </w:pPr>
      <w:r>
        <w:rPr/>
        <w:t>«Совершенствование социально-экономической политики и эффективности муниципального управления»</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center"/>
        <w:rPr/>
      </w:pPr>
      <w:bookmarkStart w:id="84" w:name="Par582"/>
      <w:bookmarkEnd w:id="84"/>
      <w:r>
        <w:rPr/>
        <w:t>ИНФОРМАЦИЯ</w:t>
      </w:r>
    </w:p>
    <w:p>
      <w:pPr>
        <w:pStyle w:val="Normal"/>
        <w:widowControl w:val="false"/>
        <w:jc w:val="center"/>
        <w:rPr/>
      </w:pPr>
      <w:r>
        <w:rPr/>
        <w:t>О РЕЗУЛЬТАТАХ ПРОВЕДЕННОГО В ПЕРИОД С 10.08.2015 по 25.08.2015 ОБЩЕСТВЕННОГО ОБСУЖДЕНИЯ ПРОЕКТА</w:t>
      </w:r>
    </w:p>
    <w:p>
      <w:pPr>
        <w:pStyle w:val="Normal"/>
        <w:widowControl w:val="false"/>
        <w:jc w:val="center"/>
        <w:rPr/>
      </w:pPr>
      <w:r>
        <w:rPr/>
        <w:t>МУНИЦИПАЛЬНОЙ ПРОГРАММЫ</w:t>
      </w:r>
    </w:p>
    <w:p>
      <w:pPr>
        <w:pStyle w:val="Normal"/>
        <w:widowControl w:val="false"/>
        <w:jc w:val="center"/>
        <w:rPr/>
      </w:pPr>
      <w:r>
        <w:rPr/>
        <w:t>«Совершенствование социально-экономической политикии эффективности муниципального управления»</w:t>
      </w:r>
    </w:p>
    <w:p>
      <w:pPr>
        <w:pStyle w:val="Normal"/>
        <w:widowControl w:val="false"/>
        <w:jc w:val="both"/>
        <w:rPr/>
      </w:pPr>
      <w:r>
        <w:rPr/>
      </w:r>
    </w:p>
    <w:tbl>
      <w:tblPr>
        <w:tblW w:w="14460" w:type="dxa"/>
        <w:jc w:val="left"/>
        <w:tblInd w:w="75" w:type="dxa"/>
        <w:tblCellMar>
          <w:top w:w="0" w:type="dxa"/>
          <w:left w:w="75" w:type="dxa"/>
          <w:bottom w:w="0" w:type="dxa"/>
          <w:right w:w="75" w:type="dxa"/>
        </w:tblCellMar>
        <w:tblLook w:firstRow="1" w:noVBand="1" w:lastRow="0" w:firstColumn="1" w:lastColumn="0" w:noHBand="0" w:val="04a0"/>
      </w:tblPr>
      <w:tblGrid>
        <w:gridCol w:w="993"/>
        <w:gridCol w:w="2976"/>
        <w:gridCol w:w="4251"/>
        <w:gridCol w:w="3119"/>
        <w:gridCol w:w="3121"/>
      </w:tblGrid>
      <w:tr>
        <w:trPr>
          <w:trHeight w:val="1000" w:hRule="atLeast"/>
        </w:trPr>
        <w:tc>
          <w:tcPr>
            <w:tcW w:w="99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w:t>
            </w:r>
          </w:p>
          <w:p>
            <w:pPr>
              <w:pStyle w:val="Normal"/>
              <w:widowControl w:val="false"/>
              <w:jc w:val="center"/>
              <w:rPr/>
            </w:pPr>
            <w:r>
              <w:rPr/>
              <w:t>п/п</w:t>
            </w:r>
          </w:p>
        </w:tc>
        <w:tc>
          <w:tcPr>
            <w:tcW w:w="297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Отправитель</w:t>
            </w:r>
          </w:p>
          <w:p>
            <w:pPr>
              <w:pStyle w:val="Normal"/>
              <w:widowControl w:val="false"/>
              <w:jc w:val="center"/>
              <w:rPr/>
            </w:pPr>
            <w:r>
              <w:rPr/>
              <w:t>замечаний/</w:t>
            </w:r>
          </w:p>
          <w:p>
            <w:pPr>
              <w:pStyle w:val="Normal"/>
              <w:widowControl w:val="false"/>
              <w:jc w:val="center"/>
              <w:rPr/>
            </w:pPr>
            <w:r>
              <w:rPr/>
              <w:t>предложений</w:t>
            </w:r>
          </w:p>
        </w:tc>
        <w:tc>
          <w:tcPr>
            <w:tcW w:w="425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Содержание</w:t>
            </w:r>
          </w:p>
          <w:p>
            <w:pPr>
              <w:pStyle w:val="Normal"/>
              <w:widowControl w:val="false"/>
              <w:jc w:val="center"/>
              <w:rPr/>
            </w:pPr>
            <w:r>
              <w:rPr/>
              <w:t>замечаний/</w:t>
            </w:r>
          </w:p>
          <w:p>
            <w:pPr>
              <w:pStyle w:val="Normal"/>
              <w:widowControl w:val="false"/>
              <w:jc w:val="center"/>
              <w:rPr/>
            </w:pPr>
            <w:r>
              <w:rPr/>
              <w:t>предложений</w:t>
            </w:r>
          </w:p>
        </w:tc>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Информация</w:t>
            </w:r>
          </w:p>
          <w:p>
            <w:pPr>
              <w:pStyle w:val="Normal"/>
              <w:widowControl w:val="false"/>
              <w:jc w:val="center"/>
              <w:rPr/>
            </w:pPr>
            <w:r>
              <w:rPr/>
              <w:t>о принятии /</w:t>
            </w:r>
          </w:p>
          <w:p>
            <w:pPr>
              <w:pStyle w:val="Normal"/>
              <w:widowControl w:val="false"/>
              <w:jc w:val="center"/>
              <w:rPr/>
            </w:pPr>
            <w:r>
              <w:rPr/>
              <w:t>отклонении</w:t>
            </w:r>
          </w:p>
          <w:p>
            <w:pPr>
              <w:pStyle w:val="Normal"/>
              <w:widowControl w:val="false"/>
              <w:jc w:val="center"/>
              <w:rPr/>
            </w:pPr>
            <w:r>
              <w:rPr/>
              <w:t>замечаний/</w:t>
            </w:r>
          </w:p>
          <w:p>
            <w:pPr>
              <w:pStyle w:val="Normal"/>
              <w:widowControl w:val="false"/>
              <w:jc w:val="center"/>
              <w:rPr/>
            </w:pPr>
            <w:r>
              <w:rPr/>
              <w:t>предложений</w:t>
            </w:r>
          </w:p>
        </w:tc>
        <w:tc>
          <w:tcPr>
            <w:tcW w:w="312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Причины</w:t>
            </w:r>
          </w:p>
          <w:p>
            <w:pPr>
              <w:pStyle w:val="Normal"/>
              <w:widowControl w:val="false"/>
              <w:jc w:val="center"/>
              <w:rPr/>
            </w:pPr>
            <w:r>
              <w:rPr/>
              <w:t>отклонения</w:t>
            </w:r>
          </w:p>
          <w:p>
            <w:pPr>
              <w:pStyle w:val="Normal"/>
              <w:widowControl w:val="false"/>
              <w:jc w:val="center"/>
              <w:rPr/>
            </w:pPr>
            <w:r>
              <w:rPr/>
              <w:t>замечаний/</w:t>
            </w:r>
          </w:p>
          <w:p>
            <w:pPr>
              <w:pStyle w:val="Normal"/>
              <w:widowControl w:val="false"/>
              <w:jc w:val="center"/>
              <w:rPr/>
            </w:pPr>
            <w:r>
              <w:rPr/>
              <w:t>предложений</w:t>
            </w:r>
          </w:p>
        </w:tc>
      </w:tr>
      <w:tr>
        <w:trPr/>
        <w:tc>
          <w:tcPr>
            <w:tcW w:w="993" w:type="dxa"/>
            <w:tcBorders>
              <w:left w:val="single" w:sz="8" w:space="0" w:color="000000"/>
              <w:bottom w:val="single" w:sz="8" w:space="0" w:color="000000"/>
              <w:right w:val="single" w:sz="8" w:space="0" w:color="000000"/>
            </w:tcBorders>
          </w:tcPr>
          <w:p>
            <w:pPr>
              <w:pStyle w:val="Normal"/>
              <w:widowControl w:val="false"/>
              <w:jc w:val="center"/>
              <w:rPr/>
            </w:pPr>
            <w:r>
              <w:rPr/>
              <w:t>1</w:t>
            </w:r>
          </w:p>
        </w:tc>
        <w:tc>
          <w:tcPr>
            <w:tcW w:w="2976" w:type="dxa"/>
            <w:tcBorders>
              <w:left w:val="single" w:sz="8" w:space="0" w:color="000000"/>
              <w:bottom w:val="single" w:sz="8" w:space="0" w:color="000000"/>
              <w:right w:val="single" w:sz="8" w:space="0" w:color="000000"/>
            </w:tcBorders>
          </w:tcPr>
          <w:p>
            <w:pPr>
              <w:pStyle w:val="Normal"/>
              <w:widowControl w:val="false"/>
              <w:jc w:val="center"/>
              <w:rPr/>
            </w:pPr>
            <w:r>
              <w:rPr/>
              <w:t>2</w:t>
            </w:r>
          </w:p>
        </w:tc>
        <w:tc>
          <w:tcPr>
            <w:tcW w:w="4251" w:type="dxa"/>
            <w:tcBorders>
              <w:left w:val="single" w:sz="8" w:space="0" w:color="000000"/>
              <w:bottom w:val="single" w:sz="8" w:space="0" w:color="000000"/>
              <w:right w:val="single" w:sz="8" w:space="0" w:color="000000"/>
            </w:tcBorders>
          </w:tcPr>
          <w:p>
            <w:pPr>
              <w:pStyle w:val="Normal"/>
              <w:widowControl w:val="false"/>
              <w:jc w:val="center"/>
              <w:rPr/>
            </w:pPr>
            <w:r>
              <w:rPr/>
              <w:t>3</w:t>
            </w:r>
          </w:p>
        </w:tc>
        <w:tc>
          <w:tcPr>
            <w:tcW w:w="3119" w:type="dxa"/>
            <w:tcBorders>
              <w:left w:val="single" w:sz="8" w:space="0" w:color="000000"/>
              <w:bottom w:val="single" w:sz="8" w:space="0" w:color="000000"/>
              <w:right w:val="single" w:sz="8" w:space="0" w:color="000000"/>
            </w:tcBorders>
          </w:tcPr>
          <w:p>
            <w:pPr>
              <w:pStyle w:val="Normal"/>
              <w:widowControl w:val="false"/>
              <w:jc w:val="center"/>
              <w:rPr/>
            </w:pPr>
            <w:r>
              <w:rPr/>
              <w:t>4</w:t>
            </w:r>
          </w:p>
        </w:tc>
        <w:tc>
          <w:tcPr>
            <w:tcW w:w="3121" w:type="dxa"/>
            <w:tcBorders>
              <w:left w:val="single" w:sz="8" w:space="0" w:color="000000"/>
              <w:bottom w:val="single" w:sz="8" w:space="0" w:color="000000"/>
              <w:right w:val="single" w:sz="8" w:space="0" w:color="000000"/>
            </w:tcBorders>
          </w:tcPr>
          <w:p>
            <w:pPr>
              <w:pStyle w:val="Normal"/>
              <w:widowControl w:val="false"/>
              <w:jc w:val="center"/>
              <w:rPr/>
            </w:pPr>
            <w:r>
              <w:rPr/>
              <w:t>5</w:t>
            </w:r>
          </w:p>
        </w:tc>
      </w:tr>
      <w:tr>
        <w:trPr/>
        <w:tc>
          <w:tcPr>
            <w:tcW w:w="993" w:type="dxa"/>
            <w:tcBorders>
              <w:top w:val="single" w:sz="8" w:space="0" w:color="000000"/>
              <w:left w:val="single" w:sz="8" w:space="0" w:color="000000"/>
              <w:bottom w:val="single" w:sz="8" w:space="0" w:color="000000"/>
              <w:right w:val="single" w:sz="8" w:space="0" w:color="000000"/>
            </w:tcBorders>
          </w:tcPr>
          <w:p>
            <w:pPr>
              <w:pStyle w:val="Normal"/>
              <w:widowControl w:val="false"/>
              <w:rPr/>
            </w:pPr>
            <w:r>
              <w:rPr/>
            </w:r>
          </w:p>
        </w:tc>
        <w:tc>
          <w:tcPr>
            <w:tcW w:w="2976" w:type="dxa"/>
            <w:tcBorders>
              <w:top w:val="single" w:sz="8" w:space="0" w:color="000000"/>
              <w:left w:val="single" w:sz="8" w:space="0" w:color="000000"/>
              <w:bottom w:val="single" w:sz="8" w:space="0" w:color="000000"/>
              <w:right w:val="single" w:sz="8" w:space="0" w:color="000000"/>
            </w:tcBorders>
          </w:tcPr>
          <w:p>
            <w:pPr>
              <w:pStyle w:val="Normal"/>
              <w:widowControl w:val="false"/>
              <w:rPr/>
            </w:pPr>
            <w:r>
              <w:rPr/>
              <w:t>Замечаний и предложений не поступало.</w:t>
            </w:r>
          </w:p>
        </w:tc>
        <w:tc>
          <w:tcPr>
            <w:tcW w:w="425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__</w:t>
            </w:r>
          </w:p>
        </w:tc>
        <w:tc>
          <w:tcPr>
            <w:tcW w:w="31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__</w:t>
            </w:r>
          </w:p>
        </w:tc>
        <w:tc>
          <w:tcPr>
            <w:tcW w:w="312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t>__</w:t>
            </w:r>
          </w:p>
        </w:tc>
      </w:tr>
    </w:tbl>
    <w:p>
      <w:pPr>
        <w:pStyle w:val="Normal"/>
        <w:rPr/>
      </w:pPr>
      <w:r>
        <w:rPr/>
      </w:r>
    </w:p>
    <w:sectPr>
      <w:type w:val="nextPage"/>
      <w:pgSz w:orient="landscape" w:w="16838" w:h="11906"/>
      <w:pgMar w:left="1134" w:right="1134"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0c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semiHidden/>
    <w:qFormat/>
    <w:rsid w:val="00c17e9c"/>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5"/>
    <w:semiHidden/>
    <w:qFormat/>
    <w:rsid w:val="00c17e9c"/>
    <w:rPr>
      <w:rFonts w:ascii="Times New Roman" w:hAnsi="Times New Roman" w:eastAsia="Times New Roman" w:cs="Times New Roman"/>
      <w:sz w:val="24"/>
      <w:szCs w:val="24"/>
      <w:lang w:eastAsia="ru-RU"/>
    </w:rPr>
  </w:style>
  <w:style w:type="character" w:styleId="Style16" w:customStyle="1">
    <w:name w:val="Основной текст с отступом Знак"/>
    <w:basedOn w:val="DefaultParagraphFont"/>
    <w:link w:val="a7"/>
    <w:semiHidden/>
    <w:qFormat/>
    <w:rsid w:val="00c17e9c"/>
    <w:rPr>
      <w:rFonts w:ascii="Calibri" w:hAnsi="Calibri" w:eastAsia="Calibri" w:cs="Times New Roman"/>
      <w:sz w:val="24"/>
      <w:szCs w:val="24"/>
      <w:lang w:eastAsia="ru-RU"/>
    </w:rPr>
  </w:style>
  <w:style w:type="character" w:styleId="Style17" w:customStyle="1">
    <w:name w:val="Текст Знак"/>
    <w:basedOn w:val="DefaultParagraphFont"/>
    <w:link w:val="a9"/>
    <w:semiHidden/>
    <w:qFormat/>
    <w:rsid w:val="00c17e9c"/>
    <w:rPr>
      <w:rFonts w:ascii="Courier New" w:hAnsi="Courier New" w:eastAsia="Calibri" w:cs="Courier New"/>
      <w:sz w:val="20"/>
      <w:szCs w:val="20"/>
      <w:lang w:eastAsia="ru-RU"/>
    </w:rPr>
  </w:style>
  <w:style w:type="character" w:styleId="NoSpacingChar" w:customStyle="1">
    <w:name w:val="No Spacing Char"/>
    <w:basedOn w:val="DefaultParagraphFont"/>
    <w:link w:val="10"/>
    <w:qFormat/>
    <w:locked/>
    <w:rsid w:val="00c17e9c"/>
    <w:rPr>
      <w:rFonts w:ascii="Calibri" w:hAnsi="Calibri" w:cs="Calibri"/>
    </w:rPr>
  </w:style>
  <w:style w:type="character" w:styleId="1" w:customStyle="1">
    <w:name w:val="Основной текст с отступом Знак1"/>
    <w:basedOn w:val="DefaultParagraphFont"/>
    <w:uiPriority w:val="99"/>
    <w:semiHidden/>
    <w:qFormat/>
    <w:rsid w:val="00c17e9c"/>
    <w:rPr>
      <w:sz w:val="24"/>
      <w:szCs w:val="24"/>
    </w:rPr>
  </w:style>
  <w:style w:type="character" w:styleId="11" w:customStyle="1">
    <w:name w:val="Текст Знак1"/>
    <w:basedOn w:val="DefaultParagraphFont"/>
    <w:uiPriority w:val="99"/>
    <w:semiHidden/>
    <w:qFormat/>
    <w:rsid w:val="00c17e9c"/>
    <w:rPr>
      <w:rFonts w:ascii="Consolas" w:hAnsi="Consolas" w:cs="Consolas"/>
      <w:sz w:val="21"/>
      <w:szCs w:val="21"/>
    </w:rPr>
  </w:style>
  <w:style w:type="character" w:styleId="Style18">
    <w:name w:val="Интернет-ссылка"/>
    <w:basedOn w:val="DefaultParagraphFont"/>
    <w:uiPriority w:val="99"/>
    <w:unhideWhenUsed/>
    <w:rsid w:val="00c17e9c"/>
    <w:rPr>
      <w:color w:val="0000FF"/>
      <w:u w:val="single"/>
    </w:rPr>
  </w:style>
  <w:style w:type="character" w:styleId="Style19">
    <w:name w:val="Посещённая гиперссылка"/>
    <w:basedOn w:val="DefaultParagraphFont"/>
    <w:uiPriority w:val="99"/>
    <w:semiHidden/>
    <w:unhideWhenUsed/>
    <w:rsid w:val="00c17e9c"/>
    <w:rPr>
      <w:color w:val="800080"/>
      <w:u w:val="single"/>
    </w:rPr>
  </w:style>
  <w:style w:type="character" w:styleId="Strong">
    <w:name w:val="Strong"/>
    <w:basedOn w:val="DefaultParagraphFont"/>
    <w:uiPriority w:val="22"/>
    <w:qFormat/>
    <w:rsid w:val="00bb31a1"/>
    <w:rPr>
      <w:b/>
      <w:bCs/>
    </w:rPr>
  </w:style>
  <w:style w:type="character" w:styleId="Style20">
    <w:name w:val="Выделение"/>
    <w:basedOn w:val="DefaultParagraphFont"/>
    <w:uiPriority w:val="20"/>
    <w:qFormat/>
    <w:rsid w:val="00bb31a1"/>
    <w:rPr>
      <w:i/>
      <w:iCs/>
    </w:rPr>
  </w:style>
  <w:style w:type="character" w:styleId="Style21" w:customStyle="1">
    <w:name w:val="Текст выноски Знак"/>
    <w:basedOn w:val="DefaultParagraphFont"/>
    <w:link w:val="af1"/>
    <w:uiPriority w:val="99"/>
    <w:semiHidden/>
    <w:qFormat/>
    <w:rsid w:val="00a8584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39168c"/>
    <w:rPr/>
  </w:style>
  <w:style w:type="character" w:styleId="ConsPlusNormal" w:customStyle="1">
    <w:name w:val="ConsPlusNormal Знак Знак"/>
    <w:link w:val="ConsPlusNormal0"/>
    <w:qFormat/>
    <w:rsid w:val="004d36e8"/>
    <w:rPr>
      <w:rFonts w:ascii="Arial" w:hAnsi="Arial" w:eastAsia="Times New Roman" w:cs="Arial"/>
      <w:sz w:val="20"/>
      <w:szCs w:val="20"/>
      <w:lang w:eastAsia="ru-RU"/>
    </w:rPr>
  </w:style>
  <w:style w:type="character" w:styleId="Style22" w:customStyle="1">
    <w:name w:val="Схема документа Знак"/>
    <w:basedOn w:val="DefaultParagraphFont"/>
    <w:link w:val="af5"/>
    <w:uiPriority w:val="99"/>
    <w:semiHidden/>
    <w:qFormat/>
    <w:rsid w:val="009c0557"/>
    <w:rPr>
      <w:rFonts w:ascii="Tahoma" w:hAnsi="Tahoma" w:eastAsia="Times New Roman" w:cs="Tahoma"/>
      <w:sz w:val="16"/>
      <w:szCs w:val="16"/>
      <w:lang w:eastAsia="ru-RU"/>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Верхний и нижний колонтитулы"/>
    <w:basedOn w:val="Normal"/>
    <w:qFormat/>
    <w:pPr/>
    <w:rPr/>
  </w:style>
  <w:style w:type="paragraph" w:styleId="Style29">
    <w:name w:val="Header"/>
    <w:basedOn w:val="Normal"/>
    <w:link w:val="a4"/>
    <w:semiHidden/>
    <w:unhideWhenUsed/>
    <w:rsid w:val="00c17e9c"/>
    <w:pPr>
      <w:tabs>
        <w:tab w:val="clear" w:pos="708"/>
        <w:tab w:val="center" w:pos="4677" w:leader="none"/>
        <w:tab w:val="right" w:pos="9355" w:leader="none"/>
      </w:tabs>
    </w:pPr>
    <w:rPr/>
  </w:style>
  <w:style w:type="paragraph" w:styleId="Style30">
    <w:name w:val="Footer"/>
    <w:basedOn w:val="Normal"/>
    <w:link w:val="a6"/>
    <w:semiHidden/>
    <w:unhideWhenUsed/>
    <w:rsid w:val="00c17e9c"/>
    <w:pPr>
      <w:tabs>
        <w:tab w:val="clear" w:pos="708"/>
        <w:tab w:val="center" w:pos="4677" w:leader="none"/>
        <w:tab w:val="right" w:pos="9355" w:leader="none"/>
      </w:tabs>
    </w:pPr>
    <w:rPr/>
  </w:style>
  <w:style w:type="paragraph" w:styleId="Style31">
    <w:name w:val="Body Text Indent"/>
    <w:basedOn w:val="Normal"/>
    <w:link w:val="a8"/>
    <w:semiHidden/>
    <w:unhideWhenUsed/>
    <w:rsid w:val="00c17e9c"/>
    <w:pPr>
      <w:spacing w:before="0" w:after="120"/>
      <w:ind w:left="283" w:hanging="0"/>
    </w:pPr>
    <w:rPr>
      <w:rFonts w:ascii="Calibri" w:hAnsi="Calibri" w:eastAsia="Calibri"/>
    </w:rPr>
  </w:style>
  <w:style w:type="paragraph" w:styleId="PlainText">
    <w:name w:val="Plain Text"/>
    <w:basedOn w:val="Normal"/>
    <w:link w:val="aa"/>
    <w:semiHidden/>
    <w:unhideWhenUsed/>
    <w:qFormat/>
    <w:rsid w:val="00c17e9c"/>
    <w:pPr/>
    <w:rPr>
      <w:rFonts w:ascii="Courier New" w:hAnsi="Courier New" w:eastAsia="Calibri" w:cs="Courier New"/>
      <w:sz w:val="20"/>
      <w:szCs w:val="20"/>
    </w:rPr>
  </w:style>
  <w:style w:type="paragraph" w:styleId="ConsPlusNonformat" w:customStyle="1">
    <w:name w:val="ConsPlusNonformat"/>
    <w:qFormat/>
    <w:rsid w:val="00c17e9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12" w:customStyle="1">
    <w:name w:val="Абзац списка1"/>
    <w:basedOn w:val="Normal"/>
    <w:qFormat/>
    <w:rsid w:val="00c17e9c"/>
    <w:pPr>
      <w:spacing w:before="0" w:after="0"/>
      <w:ind w:left="720" w:hanging="0"/>
      <w:contextualSpacing/>
    </w:pPr>
    <w:rPr>
      <w:rFonts w:eastAsia="Calibri"/>
    </w:rPr>
  </w:style>
  <w:style w:type="paragraph" w:styleId="13" w:customStyle="1">
    <w:name w:val="Без интервала1"/>
    <w:link w:val="NoSpacingChar"/>
    <w:qFormat/>
    <w:rsid w:val="00c17e9c"/>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4"/>
      <w:szCs w:val="22"/>
      <w:lang w:val="ru-RU" w:eastAsia="en-US" w:bidi="ar-SA"/>
    </w:rPr>
  </w:style>
  <w:style w:type="paragraph" w:styleId="NormalWeb">
    <w:name w:val="Normal (Web)"/>
    <w:basedOn w:val="Normal"/>
    <w:uiPriority w:val="99"/>
    <w:unhideWhenUsed/>
    <w:qFormat/>
    <w:rsid w:val="000b1511"/>
    <w:pPr>
      <w:spacing w:beforeAutospacing="1" w:afterAutospacing="1"/>
    </w:pPr>
    <w:rPr/>
  </w:style>
  <w:style w:type="paragraph" w:styleId="ConsPlusNormal1" w:customStyle="1">
    <w:name w:val="ConsPlusNormal"/>
    <w:qFormat/>
    <w:rsid w:val="00a0422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f2"/>
    <w:uiPriority w:val="99"/>
    <w:semiHidden/>
    <w:unhideWhenUsed/>
    <w:qFormat/>
    <w:rsid w:val="00a8584c"/>
    <w:pPr/>
    <w:rPr>
      <w:rFonts w:ascii="Tahoma" w:hAnsi="Tahoma" w:cs="Tahoma"/>
      <w:sz w:val="16"/>
      <w:szCs w:val="16"/>
    </w:rPr>
  </w:style>
  <w:style w:type="paragraph" w:styleId="ListParagraph">
    <w:name w:val="List Paragraph"/>
    <w:basedOn w:val="Normal"/>
    <w:uiPriority w:val="34"/>
    <w:qFormat/>
    <w:rsid w:val="00ee2e8f"/>
    <w:pPr>
      <w:spacing w:before="0" w:after="0"/>
      <w:ind w:left="720" w:hanging="0"/>
      <w:contextualSpacing/>
    </w:pPr>
    <w:rPr/>
  </w:style>
  <w:style w:type="paragraph" w:styleId="NoSpacing">
    <w:name w:val="No Spacing"/>
    <w:uiPriority w:val="1"/>
    <w:qFormat/>
    <w:rsid w:val="00226d4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rmal2" w:customStyle="1">
    <w:name w:val="ConsPlusNormal Знак"/>
    <w:link w:val="ConsPlusNormal1"/>
    <w:qFormat/>
    <w:rsid w:val="004d36e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726afb"/>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qFormat/>
    <w:rsid w:val="00245e34"/>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DocumentMap">
    <w:name w:val="Document Map"/>
    <w:basedOn w:val="Normal"/>
    <w:link w:val="af6"/>
    <w:uiPriority w:val="99"/>
    <w:semiHidden/>
    <w:unhideWhenUsed/>
    <w:qFormat/>
    <w:rsid w:val="009c055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c17e9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consultantplus://offline/ref=CE4E8CE4458EAC669ED786AFDC53DC84EEC74406B69D2C2CCFADFF5C8BG8I2K" TargetMode="External"/><Relationship Id="rId4" Type="http://schemas.openxmlformats.org/officeDocument/2006/relationships/hyperlink" Target="consultantplus://offline/ref=CE4E8CE4458EAC669ED798A2CA3F828EEECB190BB59B237293FEF90BD4D2EEA196FDD07816C42166783837AFG3ID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solidFill>
          <a:srgbClr val="c0c0c0"/>
        </a:solidFill>
        <a:ln w="3240">
          <a:solidFill>
            <a:srgbClr val="000000"/>
          </a:solidFill>
          <a:round/>
        </a:ln>
      </c:spPr>
    </c:floor>
    <c:sideWall>
      <c:spPr>
        <a:solidFill>
          <a:srgbClr val="c0c0c0"/>
        </a:solidFill>
        <a:ln w="12600">
          <a:solidFill>
            <a:srgbClr val="808080"/>
          </a:solidFill>
          <a:round/>
        </a:ln>
      </c:spPr>
    </c:sideWall>
    <c:backWall>
      <c:spPr>
        <a:solidFill>
          <a:srgbClr val="c0c0c0"/>
        </a:solidFill>
        <a:ln w="12600">
          <a:solidFill>
            <a:srgbClr val="808080"/>
          </a:solidFill>
          <a:round/>
        </a:ln>
      </c:spPr>
    </c:backWall>
    <c:plotArea>
      <c:layout>
        <c:manualLayout>
          <c:layoutTarget val="inner"/>
          <c:xMode val="edge"/>
          <c:yMode val="edge"/>
          <c:x val="0.1180625"/>
          <c:y val="0.0585555555555556"/>
          <c:w val="0.579875"/>
          <c:h val="0.760666666666667"/>
        </c:manualLayout>
      </c:layout>
      <c:bar3DChart>
        <c:barDir val="col"/>
        <c:grouping val="clustered"/>
        <c:varyColors val="0"/>
        <c:ser>
          <c:idx val="0"/>
          <c:order val="0"/>
          <c:tx>
            <c:strRef>
              <c:f>label 0</c:f>
              <c:strCache>
                <c:ptCount val="1"/>
                <c:pt idx="0">
                  <c:v>01.01.2013</c:v>
                </c:pt>
              </c:strCache>
            </c:strRef>
          </c:tx>
          <c:spPr>
            <a:solidFill>
              <a:srgbClr val="9999ff"/>
            </a:solidFill>
            <a:ln w="12600">
              <a:solidFill>
                <a:srgbClr val="000000"/>
              </a:solidFill>
              <a:round/>
            </a:ln>
          </c:spPr>
          <c:invertIfNegative val="0"/>
          <c:dLbls>
            <c:txPr>
              <a:bodyPr/>
              <a:lstStyle/>
              <a:p>
                <a:pPr>
                  <a:defRPr b="1" sz="800" spc="-1" strike="noStrike">
                    <a:solidFill>
                      <a:srgbClr val="000000"/>
                    </a:solidFill>
                    <a:latin typeface="Calibri"/>
                    <a:ea typeface="Calibri"/>
                  </a:defRPr>
                </a:pPr>
              </a:p>
            </c:txPr>
            <c:showLegendKey val="0"/>
            <c:showVal val="0"/>
            <c:showCatName val="0"/>
            <c:showSerName val="0"/>
            <c:showPercent val="0"/>
            <c:separator>; </c:separator>
            <c:showLeaderLines val="0"/>
          </c:dLbls>
          <c:cat>
            <c:strRef>
              <c:f>categories</c:f>
              <c:strCache>
                <c:ptCount val="1"/>
                <c:pt idx="0">
                  <c:v>СМСП</c:v>
                </c:pt>
              </c:strCache>
            </c:strRef>
          </c:cat>
          <c:val>
            <c:numRef>
              <c:f>0</c:f>
              <c:numCache>
                <c:formatCode>General</c:formatCode>
                <c:ptCount val="1"/>
                <c:pt idx="0">
                  <c:v>124</c:v>
                </c:pt>
              </c:numCache>
            </c:numRef>
          </c:val>
        </c:ser>
        <c:ser>
          <c:idx val="1"/>
          <c:order val="1"/>
          <c:tx>
            <c:strRef>
              <c:f>label 1</c:f>
              <c:strCache>
                <c:ptCount val="1"/>
                <c:pt idx="0">
                  <c:v>01.01.2014</c:v>
                </c:pt>
              </c:strCache>
            </c:strRef>
          </c:tx>
          <c:spPr>
            <a:solidFill>
              <a:srgbClr val="993366"/>
            </a:solidFill>
            <a:ln w="12600">
              <a:solidFill>
                <a:srgbClr val="000000"/>
              </a:solidFill>
              <a:round/>
            </a:ln>
          </c:spPr>
          <c:invertIfNegative val="0"/>
          <c:dLbls>
            <c:txPr>
              <a:bodyPr/>
              <a:lstStyle/>
              <a:p>
                <a:pPr>
                  <a:defRPr b="1" sz="800" spc="-1" strike="noStrike">
                    <a:solidFill>
                      <a:srgbClr val="000000"/>
                    </a:solidFill>
                    <a:latin typeface="Calibri"/>
                    <a:ea typeface="Calibri"/>
                  </a:defRPr>
                </a:pPr>
              </a:p>
            </c:txPr>
            <c:showLegendKey val="0"/>
            <c:showVal val="0"/>
            <c:showCatName val="0"/>
            <c:showSerName val="0"/>
            <c:showPercent val="0"/>
            <c:separator>; </c:separator>
            <c:showLeaderLines val="0"/>
          </c:dLbls>
          <c:cat>
            <c:strRef>
              <c:f>categories</c:f>
              <c:strCache>
                <c:ptCount val="1"/>
                <c:pt idx="0">
                  <c:v>СМСП</c:v>
                </c:pt>
              </c:strCache>
            </c:strRef>
          </c:cat>
          <c:val>
            <c:numRef>
              <c:f>1</c:f>
              <c:numCache>
                <c:formatCode>General</c:formatCode>
                <c:ptCount val="1"/>
                <c:pt idx="0">
                  <c:v>117</c:v>
                </c:pt>
              </c:numCache>
            </c:numRef>
          </c:val>
        </c:ser>
        <c:ser>
          <c:idx val="2"/>
          <c:order val="2"/>
          <c:tx>
            <c:strRef>
              <c:f>label 2</c:f>
              <c:strCache>
                <c:ptCount val="1"/>
                <c:pt idx="0">
                  <c:v>01.01.2015</c:v>
                </c:pt>
              </c:strCache>
            </c:strRef>
          </c:tx>
          <c:spPr>
            <a:solidFill>
              <a:srgbClr val="ffffcc"/>
            </a:solidFill>
            <a:ln w="12600">
              <a:solidFill>
                <a:srgbClr val="000000"/>
              </a:solidFill>
              <a:round/>
            </a:ln>
          </c:spPr>
          <c:invertIfNegative val="0"/>
          <c:dLbls>
            <c:txPr>
              <a:bodyPr/>
              <a:lstStyle/>
              <a:p>
                <a:pPr>
                  <a:defRPr b="1" sz="800" spc="-1" strike="noStrike">
                    <a:solidFill>
                      <a:srgbClr val="000000"/>
                    </a:solidFill>
                    <a:latin typeface="Calibri"/>
                    <a:ea typeface="Calibri"/>
                  </a:defRPr>
                </a:pPr>
              </a:p>
            </c:txPr>
            <c:showLegendKey val="0"/>
            <c:showVal val="0"/>
            <c:showCatName val="0"/>
            <c:showSerName val="0"/>
            <c:showPercent val="0"/>
            <c:separator>; </c:separator>
            <c:showLeaderLines val="0"/>
          </c:dLbls>
          <c:cat>
            <c:strRef>
              <c:f>categories</c:f>
              <c:strCache>
                <c:ptCount val="1"/>
                <c:pt idx="0">
                  <c:v>СМСП</c:v>
                </c:pt>
              </c:strCache>
            </c:strRef>
          </c:cat>
          <c:val>
            <c:numRef>
              <c:f>2</c:f>
              <c:numCache>
                <c:formatCode>General</c:formatCode>
                <c:ptCount val="1"/>
                <c:pt idx="0">
                  <c:v>102</c:v>
                </c:pt>
              </c:numCache>
            </c:numRef>
          </c:val>
        </c:ser>
        <c:gapWidth val="150"/>
        <c:shape val="box"/>
        <c:axId val="43973874"/>
        <c:axId val="89038319"/>
        <c:axId val="0"/>
      </c:bar3DChart>
      <c:catAx>
        <c:axId val="43973874"/>
        <c:scaling>
          <c:orientation val="minMax"/>
        </c:scaling>
        <c:delete val="0"/>
        <c:axPos val="b"/>
        <c:numFmt formatCode="[$-419]dd/mm/yyyy" sourceLinked="1"/>
        <c:majorTickMark val="out"/>
        <c:minorTickMark val="none"/>
        <c:tickLblPos val="low"/>
        <c:spPr>
          <a:ln w="3240">
            <a:solidFill>
              <a:srgbClr val="000000"/>
            </a:solidFill>
            <a:round/>
          </a:ln>
        </c:spPr>
        <c:txPr>
          <a:bodyPr/>
          <a:lstStyle/>
          <a:p>
            <a:pPr>
              <a:defRPr b="1" sz="800" spc="-1" strike="noStrike">
                <a:solidFill>
                  <a:srgbClr val="000000"/>
                </a:solidFill>
                <a:latin typeface="Calibri"/>
                <a:ea typeface="Calibri"/>
              </a:defRPr>
            </a:pPr>
          </a:p>
        </c:txPr>
        <c:crossAx val="89038319"/>
        <c:crosses val="autoZero"/>
        <c:auto val="1"/>
        <c:lblAlgn val="ctr"/>
        <c:lblOffset val="100"/>
        <c:noMultiLvlLbl val="0"/>
      </c:catAx>
      <c:valAx>
        <c:axId val="89038319"/>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Calibri"/>
                <a:ea typeface="Calibri"/>
              </a:defRPr>
            </a:pPr>
          </a:p>
        </c:txPr>
        <c:crossAx val="43973874"/>
        <c:crosses val="autoZero"/>
        <c:crossBetween val="between"/>
      </c:valAx>
    </c:plotArea>
    <c:legend>
      <c:legendPos val="r"/>
      <c:layout>
        <c:manualLayout>
          <c:xMode val="edge"/>
          <c:yMode val="edge"/>
          <c:x val="0.7360625"/>
          <c:y val="0.345666666666667"/>
          <c:w val="0.249953122070129"/>
          <c:h val="0.308478719857762"/>
        </c:manualLayout>
      </c:layout>
      <c:overlay val="0"/>
      <c:spPr>
        <a:noFill/>
        <a:ln w="3240">
          <a:solidFill>
            <a:srgbClr val="000000"/>
          </a:solidFill>
          <a:round/>
        </a:ln>
      </c:spPr>
      <c:txPr>
        <a:bodyPr/>
        <a:lstStyle/>
        <a:p>
          <a:pPr>
            <a:defRPr b="1" sz="734" spc="-1" strike="noStrike">
              <a:solidFill>
                <a:srgbClr val="000000"/>
              </a:solidFill>
              <a:latin typeface="Calibri"/>
              <a:ea typeface="Calibri"/>
            </a:defRPr>
          </a:pPr>
        </a:p>
      </c:txPr>
    </c:legend>
    <c:plotVisOnly val="1"/>
    <c:dispBlanksAs val="gap"/>
  </c:chart>
  <c:spPr>
    <a:no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CF6E-76A2-4818-9686-9B7A3C5E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Application>LibreOffice/6.4.4.2$Windows_x86 LibreOffice_project/3d775be2011f3886db32dfd395a6a6d1ca2630ff</Application>
  <Pages>33</Pages>
  <Words>6349</Words>
  <Characters>43642</Characters>
  <CharactersWithSpaces>49370</CharactersWithSpaces>
  <Paragraphs>974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2016-12-21T06:28:00Z</dcterms:created>
  <dc:creator>Admin</dc:creator>
  <dc:description/>
  <dc:language>ru-RU</dc:language>
  <cp:lastModifiedBy/>
  <cp:lastPrinted>2020-04-21T06:58:00Z</cp:lastPrinted>
  <dcterms:modified xsi:type="dcterms:W3CDTF">2020-07-06T18:59:02Z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