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Утверждена</w:t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 xml:space="preserve">постановлением администрации </w:t>
      </w:r>
    </w:p>
    <w:p>
      <w:pPr>
        <w:pStyle w:val="Normal"/>
        <w:widowControl w:val="false"/>
        <w:numPr>
          <w:ilvl w:val="0"/>
          <w:numId w:val="0"/>
        </w:numPr>
        <w:ind w:left="5954" w:hanging="567"/>
        <w:outlineLvl w:val="1"/>
        <w:rPr/>
      </w:pPr>
      <w:r>
        <w:rPr/>
        <w:t>городского округа ЗАТО Свободный</w:t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от «04» октября 2018 г. № 548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2016-2024 годы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(в редакции постановлений от 29.12.2018 № , от 24.04.2019 № 218, от 11.07.2019 № 374, от 07.08.2019 № 430, от 14.10.2019 № 546, от 30.12.2019        № 737, от 22.04.2020 № 189, от 07.2020 №)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Городской округ ЗАТО Свободный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2018 год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right"/>
        <w:outlineLvl w:val="1"/>
        <w:rPr/>
      </w:pPr>
      <w:r>
        <w:rPr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"Развитие городского хозяйства"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50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10"/>
        <w:gridCol w:w="4394"/>
      </w:tblGrid>
      <w:tr>
        <w:trPr>
          <w:trHeight w:val="400" w:hRule="atLeast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Соисполнитель: 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 и развитие  автомобильных дорог и улично-дорожной сети.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>
          <w:trHeight w:val="600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Энергосбережение и повышение энергоэффективности  систем коммунальной инфраструктуры</w:t>
            </w:r>
          </w:p>
        </w:tc>
      </w:tr>
      <w:tr>
        <w:trPr>
          <w:trHeight w:val="600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целевых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Снижение потерь в системах теплоснабжения, электроснабжения </w:t>
            </w:r>
          </w:p>
        </w:tc>
      </w:tr>
      <w:tr>
        <w:trPr>
          <w:trHeight w:val="406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759175,0</w:t>
            </w:r>
            <w:r>
              <w:rPr>
                <w:sz w:val="28"/>
                <w:szCs w:val="28"/>
              </w:rPr>
              <w:t xml:space="preserve"> тыс. руб.,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102721,1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86294,5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–89302,4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132095,7 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3" w:name="OLE_LINK1"/>
            <w:bookmarkStart w:id="4" w:name="OLE_LINK2"/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150515,0</w:t>
            </w:r>
            <w:r>
              <w:rPr>
                <w:sz w:val="28"/>
                <w:szCs w:val="28"/>
              </w:rPr>
              <w:t xml:space="preserve"> тыс. руб.;</w:t>
            </w:r>
            <w:bookmarkEnd w:id="3"/>
            <w:bookmarkEnd w:id="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5" w:name="OLE_LINK3"/>
            <w:bookmarkStart w:id="6" w:name="OLE_LINK4"/>
            <w:r>
              <w:rPr>
                <w:sz w:val="28"/>
                <w:szCs w:val="28"/>
              </w:rPr>
              <w:t xml:space="preserve">55314,4 </w:t>
            </w:r>
            <w:bookmarkEnd w:id="5"/>
            <w:bookmarkEnd w:id="6"/>
            <w:r>
              <w:rPr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47644,0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47644,0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47644,0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" w:name="OLE_LINK5"/>
            <w:bookmarkStart w:id="8" w:name="OLE_LINK6"/>
            <w:bookmarkStart w:id="9" w:name="OLE_LINK5"/>
            <w:bookmarkStart w:id="10" w:name="OLE_LINK6"/>
            <w:bookmarkEnd w:id="9"/>
            <w:bookmarkEnd w:id="1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730740,0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–98862,3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86097,7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89100,9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111681,9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1" w:name="OLE_LINK7"/>
            <w:bookmarkStart w:id="12" w:name="OLE_LINK8"/>
            <w:bookmarkEnd w:id="11"/>
            <w:bookmarkEnd w:id="12"/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150301,9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3" w:name="OLE_LINK9"/>
            <w:bookmarkStart w:id="14" w:name="OLE_LINK10"/>
            <w:bookmarkStart w:id="15" w:name="OLE_LINK71"/>
            <w:bookmarkStart w:id="16" w:name="OLE_LINK81"/>
            <w:bookmarkEnd w:id="15"/>
            <w:bookmarkEnd w:id="16"/>
            <w:r>
              <w:rPr>
                <w:sz w:val="28"/>
                <w:szCs w:val="28"/>
              </w:rPr>
              <w:t>2021 год – 55094,4 тыс. руб.;</w:t>
            </w:r>
            <w:bookmarkEnd w:id="13"/>
            <w:bookmarkEnd w:id="1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47414,7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47414,7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47414,7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28434,9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3858,8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20413,9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229,3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229,3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7" w:name="OLE_LINK11"/>
            <w:bookmarkStart w:id="18" w:name="OLE_LINK11"/>
            <w:bookmarkEnd w:id="1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9" w:name="OLE_LINK12"/>
            <w:r>
              <w:rPr>
                <w:sz w:val="28"/>
                <w:szCs w:val="28"/>
              </w:rPr>
              <w:t>0,0 тыс. руб.;</w:t>
            </w:r>
            <w:bookmarkEnd w:id="1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20" w:name="OLE_LINK13"/>
            <w:bookmarkStart w:id="21" w:name="OLE_LINK14"/>
            <w:bookmarkEnd w:id="20"/>
            <w:bookmarkEnd w:id="2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22" w:name="OLE_LINK15"/>
            <w:bookmarkEnd w:id="2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4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размещения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сети Интернет                 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Свободный РФ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sz w:val="28"/>
          <w:szCs w:val="28"/>
        </w:rPr>
      </w:pPr>
      <w:r>
        <w:rPr>
          <w:sz w:val="28"/>
          <w:szCs w:val="28"/>
        </w:rPr>
        <w:t>Раздел 1.  Характеристика и анализ текущего состояния городского хозяйства городского округа ЗАТО Свободный.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 и, как следствие, повысить качество жизни населения;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ПОДПРОГРАММА 1.  Обеспечение качества условий проживания населения и улучшения жилищных условий.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подпрограммы « Обеспечение качества условий проживания населения и улучшения жилищных условий».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0"/>
        <w:gridCol w:w="4535"/>
      </w:tblGrid>
      <w:tr>
        <w:trPr>
          <w:trHeight w:val="400" w:hRule="atLeast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Повышение качества и безопасности проживания населения.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>
        <w:trPr>
          <w:trHeight w:val="6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>
        <w:trPr>
          <w:trHeight w:val="22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23" w:name="OLE_LINK18"/>
            <w:bookmarkStart w:id="24" w:name="OLE_LINK19"/>
            <w:r>
              <w:rPr>
                <w:sz w:val="28"/>
                <w:szCs w:val="28"/>
              </w:rPr>
              <w:t xml:space="preserve">125151,3 </w:t>
            </w:r>
            <w:bookmarkEnd w:id="23"/>
            <w:bookmarkEnd w:id="24"/>
            <w:r>
              <w:rPr>
                <w:sz w:val="28"/>
                <w:szCs w:val="28"/>
              </w:rPr>
              <w:t xml:space="preserve">тыс. руб.;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14719,3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13724,2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14024,2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14024,2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  <w:bookmarkStart w:id="25" w:name="OLE_LINK20"/>
            <w:bookmarkStart w:id="26" w:name="OLE_LINK21"/>
            <w:bookmarkEnd w:id="25"/>
            <w:bookmarkEnd w:id="2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7" w:name="OLE_LINK16"/>
            <w:bookmarkStart w:id="28" w:name="OLE_LINK17"/>
            <w:bookmarkStart w:id="29" w:name="OLE_LINK16"/>
            <w:bookmarkStart w:id="30" w:name="OLE_LINK17"/>
            <w:bookmarkEnd w:id="29"/>
            <w:bookmarkEnd w:id="3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125151,3 тыс. руб.;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15801,0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12084,7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14719,3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13724,2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14024,2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14024,2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14024,2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областной бюджет:  0,0 тыс. руб.;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1" w:name="OLE_LINK24"/>
            <w:bookmarkStart w:id="32" w:name="OLE_LINK25"/>
            <w:bookmarkEnd w:id="31"/>
            <w:bookmarkEnd w:id="3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33" w:name="OLE_LINK22"/>
            <w:bookmarkStart w:id="34" w:name="OLE_LINK23"/>
            <w:bookmarkStart w:id="35" w:name="OLE_LINK22"/>
            <w:bookmarkStart w:id="36" w:name="OLE_LINK23"/>
            <w:bookmarkEnd w:id="35"/>
            <w:bookmarkEnd w:id="3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0, тыс. руб.;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37" w:name="OLE_LINK26"/>
            <w:bookmarkEnd w:id="3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 характеризуется следующими показателями: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жилых помещений в многоквартирных домах составляет 116,47 тыс. кв. метров.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- 409 штук;</w:t>
      </w:r>
    </w:p>
    <w:p>
      <w:pPr>
        <w:pStyle w:val="Normal"/>
        <w:spacing w:lineRule="auto" w:line="266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- 405 штук.</w:t>
      </w:r>
    </w:p>
    <w:p>
      <w:pPr>
        <w:pStyle w:val="Normal"/>
        <w:spacing w:lineRule="auto" w:line="266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коммунальной инфраструктуры»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647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5"/>
        <w:gridCol w:w="4481"/>
      </w:tblGrid>
      <w:tr>
        <w:trPr>
          <w:trHeight w:val="400" w:hRule="atLeast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  <w:br/>
              <w:t>2. Развитие системы энергоснабжения.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>
        <w:trPr>
          <w:trHeight w:val="6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>
        <w:trPr>
          <w:trHeight w:val="22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405737,5</w:t>
            </w:r>
            <w:bookmarkStart w:id="38" w:name="OLE_LINK27"/>
            <w:bookmarkStart w:id="39" w:name="OLE_LINK28"/>
            <w:r>
              <w:rPr>
                <w:sz w:val="28"/>
                <w:szCs w:val="28"/>
              </w:rPr>
              <w:t xml:space="preserve"> тыс. руб.</w:t>
            </w:r>
            <w:bookmarkEnd w:id="38"/>
            <w:bookmarkEnd w:id="39"/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80112,8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93942,9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13155,2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10085,8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10085,8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10085,8 тыс. руб.</w:t>
            </w:r>
            <w:bookmarkStart w:id="40" w:name="OLE_LINK32"/>
            <w:bookmarkEnd w:id="4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1" w:name="OLE_LINK29"/>
            <w:bookmarkStart w:id="42" w:name="OLE_LINK29"/>
            <w:bookmarkEnd w:id="4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—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396186,5</w:t>
            </w:r>
            <w:r>
              <w:rPr>
                <w:sz w:val="28"/>
                <w:szCs w:val="28"/>
              </w:rPr>
              <w:t xml:space="preserve"> 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58407,3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70561,8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93942,9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13155,2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10085,2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10085,2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1085,2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43" w:name="OLE_LINK33"/>
            <w:bookmarkStart w:id="44" w:name="OLE_LINK34"/>
            <w:r>
              <w:rPr>
                <w:sz w:val="28"/>
                <w:szCs w:val="28"/>
              </w:rPr>
              <w:t>9551,0 тыс. руб.;</w:t>
            </w:r>
            <w:bookmarkEnd w:id="43"/>
            <w:bookmarkEnd w:id="4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–9551,0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45" w:name="OLE_LINK36"/>
            <w:bookmarkStart w:id="46" w:name="OLE_LINK37"/>
            <w:bookmarkEnd w:id="45"/>
            <w:bookmarkEnd w:id="4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7" w:name="OLE_LINK35"/>
            <w:bookmarkStart w:id="48" w:name="OLE_LINK35"/>
            <w:bookmarkEnd w:id="4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49" w:name="OLE_LINK38"/>
            <w:bookmarkStart w:id="50" w:name="OLE_LINK39"/>
            <w:bookmarkEnd w:id="49"/>
            <w:bookmarkEnd w:id="5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>
      <w:pPr>
        <w:pStyle w:val="Normal"/>
        <w:spacing w:lineRule="auto" w:line="266" w:before="0" w:after="13"/>
        <w:ind w:right="75" w:firstLine="71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 подпрограммы позволит: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647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5"/>
        <w:gridCol w:w="4481"/>
      </w:tblGrid>
      <w:tr>
        <w:trPr>
          <w:trHeight w:val="400" w:hRule="atLeast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Повышение уровня благоустройства городского округа 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Обеспечение санитарно-эпидемиологического состояния городского округа. </w:t>
            </w:r>
          </w:p>
        </w:tc>
      </w:tr>
      <w:tr>
        <w:trPr>
          <w:trHeight w:val="6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31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121732,0</w:t>
            </w:r>
            <w:r>
              <w:rPr>
                <w:sz w:val="28"/>
                <w:szCs w:val="28"/>
              </w:rPr>
              <w:t xml:space="preserve"> </w:t>
            </w:r>
            <w:bookmarkStart w:id="51" w:name="OLE_LINK40"/>
            <w:bookmarkStart w:id="52" w:name="OLE_LINK41"/>
            <w:r>
              <w:rPr>
                <w:sz w:val="28"/>
                <w:szCs w:val="28"/>
              </w:rPr>
              <w:t>тыс. руб.;</w:t>
            </w:r>
            <w:bookmarkEnd w:id="51"/>
            <w:bookmarkEnd w:id="52"/>
            <w:r>
              <w:rPr>
                <w:sz w:val="28"/>
                <w:szCs w:val="28"/>
              </w:rPr>
              <w:t xml:space="preserve">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5 433,5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6 461,5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15605,1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11614,55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23886,6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14082,4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14130,7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14130,7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14130,7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3" w:name="OLE_LINK42"/>
            <w:bookmarkStart w:id="54" w:name="OLE_LINK43"/>
            <w:bookmarkStart w:id="55" w:name="OLE_LINK42"/>
            <w:bookmarkStart w:id="56" w:name="OLE_LINK43"/>
            <w:bookmarkEnd w:id="55"/>
            <w:bookmarkEnd w:id="5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119811,9</w:t>
            </w:r>
            <w:r>
              <w:rPr>
                <w:sz w:val="28"/>
                <w:szCs w:val="28"/>
              </w:rPr>
              <w:t xml:space="preserve"> тыс. руб.;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5238,9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6264,7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15403,6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11408,3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25929,8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13862,4 тыс. руб.;</w:t>
            </w:r>
            <w:bookmarkStart w:id="57" w:name="OLE_LINK45"/>
            <w:bookmarkStart w:id="58" w:name="OLE_LINK46"/>
            <w:bookmarkEnd w:id="57"/>
            <w:bookmarkEnd w:id="5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13901,4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13901,4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13901,4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9" w:name="OLE_LINK44"/>
            <w:bookmarkStart w:id="60" w:name="OLE_LINK44"/>
            <w:bookmarkEnd w:id="6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1920,1 тыс. руб.;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–194,6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–196,8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–206,2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–220,0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–229,3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–229,3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–229,3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61" w:name="OLE_LINK47"/>
            <w:bookmarkStart w:id="62" w:name="OLE_LINK48"/>
            <w:bookmarkStart w:id="63" w:name="OLE_LINK47"/>
            <w:bookmarkStart w:id="64" w:name="OLE_LINK48"/>
            <w:bookmarkEnd w:id="63"/>
            <w:bookmarkEnd w:id="6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65" w:name="OLE_LINK54"/>
            <w:bookmarkStart w:id="66" w:name="OLE_LINK55"/>
            <w:bookmarkStart w:id="67" w:name="OLE_LINK49"/>
            <w:bookmarkStart w:id="68" w:name="OLE_LINK50"/>
            <w:r>
              <w:rPr>
                <w:sz w:val="28"/>
                <w:szCs w:val="28"/>
              </w:rPr>
              <w:t>0,0 тыс. руб.;</w:t>
            </w:r>
            <w:bookmarkEnd w:id="67"/>
            <w:bookmarkEnd w:id="68"/>
            <w:r>
              <w:rPr>
                <w:sz w:val="28"/>
                <w:szCs w:val="28"/>
              </w:rPr>
              <w:t xml:space="preserve"> </w:t>
            </w:r>
            <w:bookmarkEnd w:id="65"/>
            <w:bookmarkEnd w:id="66"/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69" w:name="OLE_LINK51"/>
            <w:bookmarkStart w:id="70" w:name="OLE_LINK52"/>
            <w:r>
              <w:rPr>
                <w:sz w:val="28"/>
                <w:szCs w:val="28"/>
              </w:rPr>
              <w:t>0,0 тыс. руб.;</w:t>
            </w:r>
            <w:bookmarkEnd w:id="69"/>
            <w:bookmarkEnd w:id="7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71" w:name="OLE_LINK56"/>
            <w:bookmarkStart w:id="72" w:name="OLE_LINK57"/>
            <w:bookmarkEnd w:id="71"/>
            <w:bookmarkEnd w:id="7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3" w:name="OLE_LINK53"/>
            <w:bookmarkStart w:id="74" w:name="OLE_LINK53"/>
            <w:bookmarkEnd w:id="7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источники: 0,0 тыс. руб.;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городском округе 32 дворовые территории. Из них благоустроенные 22 , площадью 26433, что составляет 70% от общей площади дворовых территорий.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 и урны) на сегодня весьма актуальны и не решены в полном объеме.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Карбышева 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озеленение, уход за зелеными насаждениями;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оборудование малыми архитектурными формами, иными некапитальными объектами;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устройство пешеходных дорожек;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освещение территорий, в том числе декоративное;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обустройство площадок для отдыха, детских, спортивных площадок;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установка скамеек и урн, контейнеров для сбора мусора;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>установка вновь и (или) восстановление существующих ограждений;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>оформление цветников (ландшафтный дизайн).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минимальный перечень работ по благоустройству дворовых территорий (приложение 4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5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6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7 к муниципальной программе);</w:t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45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5"/>
        <w:gridCol w:w="4284"/>
      </w:tblGrid>
      <w:tr>
        <w:trPr>
          <w:trHeight w:val="400" w:hRule="atLeast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экономики), 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проведения ремонта и повышение качества содержания автомобильных дорог и улично-дорожной сети. </w:t>
            </w:r>
          </w:p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>
            <w:pPr>
              <w:pStyle w:val="Normal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>
            <w:pPr>
              <w:pStyle w:val="Normal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Доля автомобильных дорог местного значения , в отношении которых проведен ремонт от общей площади подлежащей ремонту. </w:t>
            </w:r>
          </w:p>
        </w:tc>
      </w:tr>
      <w:tr>
        <w:trPr>
          <w:trHeight w:val="2200" w:hRule="atLeast"/>
        </w:trPr>
        <w:tc>
          <w:tcPr>
            <w:tcW w:w="4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92224,8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11078,8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15710,0</w:t>
            </w:r>
            <w:r>
              <w:rPr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14352,6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9403,2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9403,2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5" w:name="OLE_LINK58"/>
            <w:bookmarkStart w:id="76" w:name="OLE_LINK58"/>
            <w:bookmarkEnd w:id="7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88560,6</w:t>
            </w:r>
            <w:r>
              <w:rPr>
                <w:sz w:val="28"/>
                <w:szCs w:val="28"/>
              </w:rPr>
              <w:t xml:space="preserve"> тыс. руб.;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7414,6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8294,2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3456,5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11123,2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15710,0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14352,6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9403,2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9403,2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9403,2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7" w:name="OLE_LINK59"/>
            <w:bookmarkStart w:id="78" w:name="OLE_LINK60"/>
            <w:bookmarkStart w:id="79" w:name="OLE_LINK59"/>
            <w:bookmarkStart w:id="80" w:name="OLE_LINK60"/>
            <w:bookmarkEnd w:id="79"/>
            <w:bookmarkEnd w:id="8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3664,2 тыс. руб.;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1" w:name="OLE_LINK61"/>
            <w:bookmarkStart w:id="82" w:name="OLE_LINK61"/>
            <w:bookmarkEnd w:id="8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0,0 тыс. руб.;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83" w:name="OLE_LINK64"/>
            <w:bookmarkStart w:id="84" w:name="OLE_LINK65"/>
            <w:bookmarkEnd w:id="83"/>
            <w:bookmarkEnd w:id="8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5" w:name="OLE_LINK62"/>
            <w:bookmarkStart w:id="86" w:name="OLE_LINK63"/>
            <w:bookmarkStart w:id="87" w:name="OLE_LINK62"/>
            <w:bookmarkStart w:id="88" w:name="OLE_LINK63"/>
            <w:bookmarkEnd w:id="87"/>
            <w:bookmarkEnd w:id="8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источники: 0 тыс. руб.;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подпрограмма 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>
      <w:pPr>
        <w:pStyle w:val="Normal"/>
        <w:spacing w:lineRule="auto" w:line="266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муниципальной собственности городского округа ЗАТО Свободный находится 8 495 м автомобильных дорог местного значения,  </w:t>
      </w:r>
      <w:r>
        <w:rPr>
          <w:bCs/>
          <w:sz w:val="28"/>
          <w:szCs w:val="28"/>
        </w:rPr>
        <w:t>670,5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п.Свободный)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 Энергосбережение и повышение энергоэффективности  систем коммунальной инфраструктуры.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56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0"/>
        <w:gridCol w:w="4535"/>
      </w:tblGrid>
      <w:tr>
        <w:trPr>
          <w:trHeight w:val="400" w:hRule="atLeast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 и экономики)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Энергосбережение, повышение энергоэффективности систем коммунальной инфраструктуры.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00" w:hRule="atLeast"/>
        </w:trPr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14329,4 тыс. руб.;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–14329,4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89" w:name="OLE_LINK67"/>
            <w:bookmarkStart w:id="90" w:name="OLE_LINK68"/>
            <w:bookmarkEnd w:id="89"/>
            <w:bookmarkEnd w:id="9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1" w:name="OLE_LINK66"/>
            <w:bookmarkStart w:id="92" w:name="OLE_LINK66"/>
            <w:bookmarkEnd w:id="9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1029,8 тыс. руб.;           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–1029,8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3" w:name="OLE_LINK69"/>
            <w:bookmarkStart w:id="94" w:name="OLE_LINK70"/>
            <w:bookmarkEnd w:id="93"/>
            <w:bookmarkEnd w:id="94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областной бюджет: 13299,6 тыс. руб.;  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–13299,6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5" w:name="OLE_LINK711"/>
            <w:bookmarkStart w:id="96" w:name="OLE_LINK72"/>
            <w:bookmarkEnd w:id="95"/>
            <w:bookmarkEnd w:id="9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0,0 тыс. руб.;  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источники: 0 тыс. руб.;           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и анализ энергоэффективности систем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централизованного теплоснабжения городского округа является газовая котельная  МУП ЖКХ «Кедр»: установленная мощность – 63 Гкал/час; 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газ. Резервное топливо – мазут. Мазутное хозяйство располагается рядом с котельной.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 вода с параметрами 150/70, система теплоснабжения  - закрытая.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7034 м. </w:t>
      </w:r>
    </w:p>
    <w:p>
      <w:pPr>
        <w:pStyle w:val="Normal"/>
        <w:spacing w:lineRule="auto" w:line="276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 Свободный и войсковых частей, расположенных на прилегающих территориях.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 d100.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 протяженность  магистральных сетей хозяйственно-питьевого водопровода составляет 14745 м, технического водопровода- 2160,5 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три постоянно действующих родника.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220/35/6кВ, находящейся в северной части ЗАТО, в конце ул.Неделина.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протяженность высоковольтных кабельных линий составляет   9734 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- обеспечить более рациональное использование природных ресурсов, снижение потерь, экономию энергоресурсов.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1. </w:t>
      </w:r>
    </w:p>
    <w:p>
      <w:pPr>
        <w:pStyle w:val="Normal"/>
        <w:spacing w:lineRule="auto" w:line="27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2">
        <w:r>
          <w:rPr>
            <w:rFonts w:eastAsia="Calibri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от 05 апреля 2013 года N 44-ФЗ               "О контрактной системе в сфере закупок товаров, работ, услуг для обеспечения государственных и муниципальных нужд".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 </w:t>
      </w:r>
      <w:r>
        <w:rPr>
          <w:rFonts w:eastAsia="Calibri" w:cs="Times New Roman" w:eastAsiaTheme="minorHAnsi"/>
          <w:sz w:val="28"/>
          <w:szCs w:val="28"/>
          <w:lang w:eastAsia="en-US"/>
        </w:rPr>
        <w:t>759175,0</w:t>
      </w:r>
      <w:r>
        <w:rPr>
          <w:sz w:val="28"/>
          <w:szCs w:val="28"/>
        </w:rPr>
        <w:t xml:space="preserve"> тыс. руб.,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102721,1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86294,5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–89302,4тыс.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132095,7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rFonts w:eastAsia="Times New Roman" w:cs="Times New Roman"/>
          <w:sz w:val="28"/>
          <w:szCs w:val="28"/>
          <w:lang w:eastAsia="ru-RU"/>
        </w:rPr>
        <w:t xml:space="preserve">150515,0 </w:t>
      </w:r>
      <w:r>
        <w:rPr>
          <w:sz w:val="28"/>
          <w:szCs w:val="28"/>
        </w:rPr>
        <w:t>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97" w:name="OLE_LINK75"/>
      <w:bookmarkStart w:id="98" w:name="OLE_LINK76"/>
      <w:r>
        <w:rPr>
          <w:sz w:val="28"/>
          <w:szCs w:val="28"/>
        </w:rPr>
        <w:t>2021 год – 55314,4тыс. руб.;</w:t>
      </w:r>
      <w:bookmarkEnd w:id="97"/>
      <w:bookmarkEnd w:id="98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47644,0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47644,0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47644,0 тыс. руб.</w:t>
      </w:r>
      <w:bookmarkStart w:id="99" w:name="OLE_LINK73"/>
      <w:bookmarkStart w:id="100" w:name="OLE_LINK74"/>
      <w:bookmarkEnd w:id="99"/>
      <w:bookmarkEnd w:id="100"/>
    </w:p>
    <w:p>
      <w:pPr>
        <w:pStyle w:val="Normal"/>
        <w:widowControl w:val="false"/>
        <w:ind w:firstLine="567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="Calibri" w:eastAsiaTheme="minorHAnsi"/>
          <w:sz w:val="28"/>
          <w:szCs w:val="28"/>
          <w:lang w:eastAsia="en-US"/>
        </w:rPr>
        <w:t xml:space="preserve">» -  125151,3 </w:t>
      </w:r>
      <w:r>
        <w:rPr>
          <w:sz w:val="28"/>
          <w:szCs w:val="28"/>
        </w:rPr>
        <w:t>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15801,0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12084,7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11833,7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14915,8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14719,3 тыс. руб.;</w:t>
      </w:r>
      <w:bookmarkStart w:id="101" w:name="OLE_LINK77"/>
      <w:bookmarkStart w:id="102" w:name="OLE_LINK78"/>
      <w:bookmarkEnd w:id="101"/>
      <w:bookmarkEnd w:id="102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13724,2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14024,2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14024,2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14024,2 тыс. руб.;</w:t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405737,5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70407,8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59454,1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58407,3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80112,8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rFonts w:eastAsia="Times New Roman" w:cs="Times New Roman"/>
          <w:sz w:val="28"/>
          <w:szCs w:val="28"/>
          <w:lang w:eastAsia="ru-RU"/>
        </w:rPr>
        <w:t>93942,9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2021 год – 13155,2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2022 год – 10085,8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2023 год – 10085,8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2024 год – 10085,8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  <w:bookmarkStart w:id="103" w:name="OLE_LINK79"/>
      <w:bookmarkStart w:id="104" w:name="OLE_LINK80"/>
      <w:bookmarkStart w:id="105" w:name="OLE_LINK79"/>
      <w:bookmarkStart w:id="106" w:name="OLE_LINK80"/>
      <w:bookmarkEnd w:id="105"/>
      <w:bookmarkEnd w:id="106"/>
    </w:p>
    <w:p>
      <w:pPr>
        <w:pStyle w:val="Normal"/>
        <w:jc w:val="both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>
        <w:rPr>
          <w:rFonts w:eastAsia="Times New Roman" w:cs="Times New Roman"/>
          <w:sz w:val="28"/>
          <w:szCs w:val="28"/>
          <w:lang w:eastAsia="ru-RU"/>
        </w:rPr>
        <w:t>121732,0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5433,5тыс.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6461,5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15605,1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11614,5 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107" w:name="OLE_LINK811"/>
      <w:r>
        <w:rPr>
          <w:sz w:val="28"/>
          <w:szCs w:val="28"/>
        </w:rPr>
        <w:t xml:space="preserve">2020 год – </w:t>
      </w:r>
      <w:r>
        <w:rPr>
          <w:rFonts w:eastAsia="Times New Roman" w:cs="Times New Roman"/>
          <w:sz w:val="28"/>
          <w:szCs w:val="28"/>
          <w:lang w:eastAsia="ru-RU"/>
        </w:rPr>
        <w:t>26142,9</w:t>
      </w:r>
      <w:r>
        <w:rPr>
          <w:sz w:val="28"/>
          <w:szCs w:val="28"/>
        </w:rPr>
        <w:t xml:space="preserve"> тыс. руб</w:t>
      </w:r>
      <w:bookmarkEnd w:id="107"/>
      <w:r>
        <w:rPr>
          <w:sz w:val="28"/>
          <w:szCs w:val="28"/>
        </w:rPr>
        <w:t>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14082,4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2022 год – 14130,7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2023 год – 14130,7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2024 год – 14130,7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bookmarkStart w:id="108" w:name="OLE_LINK82"/>
      <w:bookmarkStart w:id="109" w:name="OLE_LINK82"/>
      <w:bookmarkEnd w:id="109"/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 xml:space="preserve">Развитие дорожной деятельности»  - </w:t>
      </w:r>
      <w:r>
        <w:rPr>
          <w:rFonts w:eastAsia="Times New Roman" w:cs="Times New Roman"/>
          <w:sz w:val="28"/>
          <w:szCs w:val="28"/>
          <w:lang w:eastAsia="ru-RU"/>
        </w:rPr>
        <w:t>92224,8</w:t>
      </w:r>
      <w:r>
        <w:rPr>
          <w:sz w:val="28"/>
          <w:szCs w:val="28"/>
        </w:rPr>
        <w:t xml:space="preserve">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11078,8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8294,2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3456,5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11123,2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>
        <w:rPr>
          <w:rFonts w:eastAsia="Times New Roman" w:cs="Times New Roman"/>
          <w:sz w:val="28"/>
          <w:szCs w:val="28"/>
          <w:lang w:eastAsia="ru-RU"/>
        </w:rPr>
        <w:t>15710,0</w:t>
      </w:r>
      <w:r>
        <w:rPr>
          <w:sz w:val="28"/>
          <w:szCs w:val="28"/>
        </w:rPr>
        <w:t xml:space="preserve"> тыс. руб.;</w:t>
      </w:r>
      <w:bookmarkStart w:id="110" w:name="OLE_LINK83"/>
      <w:bookmarkEnd w:id="110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14352,6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9403,2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9403,2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9403,2 тыс. руб.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- 14329,4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14329,4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111" w:name="OLE_LINK84"/>
      <w:bookmarkEnd w:id="111"/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rFonts w:eastAsia="Calibri" w:eastAsiaTheme="minorHAnsi"/>
          <w:b/>
          <w:sz w:val="20"/>
          <w:szCs w:val="20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hyperlink r:id="rId4">
        <w:r>
          <w:rPr>
            <w:rFonts w:eastAsia="Calibri"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N 2 к муниципальной  программе "Развитие городского хозяйства» на 2016-2024 годы.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Приложение N4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Приложение N5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tabs>
          <w:tab w:val="clear" w:pos="708"/>
          <w:tab w:val="left" w:pos="37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Приложение N6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tabs>
          <w:tab w:val="clear" w:pos="708"/>
          <w:tab w:val="left" w:pos="3615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782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6"/>
        <w:gridCol w:w="1416"/>
        <w:gridCol w:w="1559"/>
        <w:gridCol w:w="1560"/>
      </w:tblGrid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Вид работ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Единичная расценка, руб.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2 252,00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1 200,00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jc w:val="both"/>
              <w:rPr/>
            </w:pPr>
            <w:r>
              <w:rPr/>
              <w:t>2 120,00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jc w:val="both"/>
              <w:rPr/>
            </w:pPr>
            <w:r>
              <w:rPr/>
              <w:t>1 300,00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Строительство тротуара (пешеходной дорожки) с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С бордюром </w:t>
            </w:r>
          </w:p>
          <w:p>
            <w:pPr>
              <w:pStyle w:val="Normal"/>
              <w:jc w:val="both"/>
              <w:rPr/>
            </w:pPr>
            <w:r>
              <w:rPr/>
              <w:t>1 700,00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jc w:val="both"/>
              <w:rPr/>
            </w:pPr>
            <w:r>
              <w:rPr/>
              <w:t>900,00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 бордюром 1 600,00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Без бордюра 500,00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Поднятие горловины колодца (без стоимости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3 233,00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Поднятие горловины колодца (со стоимостью люка)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8 334,00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Установка скамейки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1 512,00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Стоимость скамейки без спинки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Стоимость скамейки со спинкой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 шт.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6 200,00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Установка урны для мусора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1 700,00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Стоимость наружного освещения по опорам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1 046,00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Стоимость наружного освещения над подъездом дома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773,00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Стоимость наружного освещения под землей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 п.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2 242,00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Стоимость светодиодного светильника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от 7 000,00 до 15 000,00</w:t>
            </w:r>
          </w:p>
          <w:p>
            <w:pPr>
              <w:pStyle w:val="Normal"/>
              <w:jc w:val="both"/>
              <w:rPr/>
            </w:pPr>
            <w:r>
              <w:rPr/>
              <w:t>(зависит от мощности)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Стоимость шкафа управления (освещение)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22 000,00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Посадка зеленых насаждений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Кустарник</w:t>
            </w:r>
          </w:p>
          <w:p>
            <w:pPr>
              <w:pStyle w:val="Normal"/>
              <w:jc w:val="both"/>
              <w:rPr/>
            </w:pPr>
            <w:r>
              <w:rPr/>
              <w:t>372,55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Дерево</w:t>
            </w:r>
          </w:p>
          <w:p>
            <w:pPr>
              <w:pStyle w:val="Normal"/>
              <w:jc w:val="both"/>
              <w:rPr/>
            </w:pPr>
            <w:r>
              <w:rPr/>
              <w:t>1 121,31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Посев газона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387,00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Создание цветника (многолетники)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кв. 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1 438,00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Снос зеленых насаждений, в том числе представляющих угрозу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Обрезка (кронирование) деревьев и кустарников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Снос строений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vertAlign w:val="superscript"/>
              </w:rPr>
            </w:pPr>
            <w:r>
              <w:rPr/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997,00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 м. п.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4 645,98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Устройство пандуса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81 624,00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Установка евроконтейнера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20 642,00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36 123,00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Детская игровая площадка (комплекс):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От 99 000,00 до 199 000,00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качели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От 16 000,00 до 28 000,00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горка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1шт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От 2 700,00 до 85 000,00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качалка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12 000,00 –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песочница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10 000,00- 30 000,00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домик-беседка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25 000,00 – 75 000,00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- карусель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20 000,00-30 000,00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Детский спортивный комплекс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65 000,00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Спортивная площадка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комплекс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894 000,00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Теннисный стол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шт.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17 160,00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Ударопоглощающее покрытие (для площадок)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1 кв. м.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1 360,00 -2 490,00</w:t>
            </w:r>
          </w:p>
        </w:tc>
      </w:tr>
    </w:tbl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firstLine="5387"/>
        <w:outlineLvl w:val="1"/>
        <w:rPr/>
      </w:pPr>
      <w:r>
        <w:rPr/>
        <w:t>Приложение N7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/>
      </w:pPr>
      <w:r>
        <w:rPr/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>
          <w:b/>
          <w:b/>
        </w:rPr>
      </w:pPr>
      <w:r>
        <w:rPr>
          <w:b/>
        </w:rPr>
      </w:r>
    </w:p>
    <w:p>
      <w:pPr>
        <w:pStyle w:val="3"/>
        <w:shd w:val="clear" w:color="auto" w:fill="auto"/>
        <w:spacing w:lineRule="exact" w:line="298" w:before="0" w:after="0"/>
        <w:ind w:left="20" w:right="20" w:firstLine="840"/>
        <w:jc w:val="both"/>
        <w:rPr/>
      </w:pPr>
      <w:r>
        <w:rPr/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bookmarkStart w:id="112" w:name="Par219"/>
      <w:bookmarkEnd w:id="112"/>
      <w:r>
        <w:rPr/>
        <w:t xml:space="preserve">Приложение </w:t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  <w:t>к постановлению администрации</w:t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  <w:t xml:space="preserve">городского округа ЗАТО Свободный </w:t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  <w:t>от ___ апреля 2019 № ____</w:t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  <w:t>Приложение № 1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  <w:bookmarkStart w:id="113" w:name="Par224"/>
      <w:bookmarkEnd w:id="113"/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ЦЕЛИ, ЗАДАЧИ И ЦЕЛЕВЫЕ ПОКАЗАТЕЛИ</w:t>
      </w:r>
    </w:p>
    <w:p>
      <w:pPr>
        <w:pStyle w:val="Normal"/>
        <w:widowControl w:val="false"/>
        <w:jc w:val="center"/>
        <w:rPr/>
      </w:pPr>
      <w:r>
        <w:rPr/>
        <w:t>РЕАЛИЗАЦИИ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"</w:t>
      </w:r>
      <w:r>
        <w:rPr>
          <w:rFonts w:eastAsia="Calibri" w:eastAsiaTheme="minorHAnsi"/>
          <w:sz w:val="28"/>
          <w:szCs w:val="28"/>
          <w:lang w:eastAsia="en-US"/>
        </w:rPr>
        <w:t>РАЗВИТИЕ ГОРОДСКОГО ХОЗЯЙСТВА</w:t>
      </w:r>
      <w:r>
        <w:rPr/>
        <w:t>"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4157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09"/>
        <w:gridCol w:w="3402"/>
        <w:gridCol w:w="1139"/>
        <w:gridCol w:w="704"/>
        <w:gridCol w:w="713"/>
        <w:gridCol w:w="704"/>
        <w:gridCol w:w="714"/>
        <w:gridCol w:w="9"/>
        <w:gridCol w:w="806"/>
        <w:gridCol w:w="45"/>
        <w:gridCol w:w="708"/>
        <w:gridCol w:w="43"/>
        <w:gridCol w:w="22"/>
        <w:gridCol w:w="772"/>
        <w:gridCol w:w="45"/>
        <w:gridCol w:w="721"/>
        <w:gridCol w:w="31"/>
        <w:gridCol w:w="65"/>
        <w:gridCol w:w="698"/>
        <w:gridCol w:w="31"/>
        <w:gridCol w:w="91"/>
        <w:gridCol w:w="1984"/>
      </w:tblGrid>
      <w:tr>
        <w:trPr/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 xml:space="preserve">N   </w:t>
            </w:r>
          </w:p>
          <w:p>
            <w:pPr>
              <w:pStyle w:val="Normal"/>
              <w:widowControl w:val="false"/>
              <w:rPr/>
            </w:pPr>
            <w:r>
              <w:rPr/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Наименование цели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 xml:space="preserve">(целей) и задач,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целевых показателей 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Единица </w:t>
            </w:r>
          </w:p>
          <w:p>
            <w:pPr>
              <w:pStyle w:val="Normal"/>
              <w:widowControl w:val="false"/>
              <w:rPr/>
            </w:pPr>
            <w:r>
              <w:rPr/>
              <w:t>измерения</w:t>
            </w:r>
          </w:p>
        </w:tc>
        <w:tc>
          <w:tcPr>
            <w:tcW w:w="69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 xml:space="preserve">Значение целевого показателя реализации     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</w:t>
            </w:r>
            <w:r>
              <w:rPr/>
              <w:t xml:space="preserve">муниципальной программы              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Источник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значений  </w:t>
            </w:r>
          </w:p>
          <w:p>
            <w:pPr>
              <w:pStyle w:val="Normal"/>
              <w:widowControl w:val="false"/>
              <w:rPr/>
            </w:pPr>
            <w:r>
              <w:rPr/>
              <w:t>показателей</w:t>
            </w:r>
          </w:p>
          <w:p>
            <w:pPr>
              <w:pStyle w:val="Normal"/>
              <w:widowControl w:val="false"/>
              <w:rPr/>
            </w:pPr>
            <w:r>
              <w:fldChar w:fldCharType="begin"/>
            </w:r>
            <w:r>
              <w:rPr>
                <w:u w:val="none"/>
                <w:color w:val="auto"/>
              </w:rPr>
              <w:instrText> HYPERLINK "../../../../%D0%95%D0%A2/%D0%9F%D0%BE%D1%87%D1%82%D0%B0/%D0%9F%D0%BE%D0%BB%D0%BE%D0%B6%D0%B5%D0%BD%D0%B8%D0%B5%20%D0%BE%20%D1%80%D0%B0%D0%B7%D1%80%20%D0%9C%D0%9F%20%D0%B2%20%D0%BD%D0%BE%D0%B2%20%D1%80%D0%B5%D0%B4%D0%B0%D0%BA%D1%86%D0%B8%D0%B8.doc" \l "Par280"</w:instrText>
            </w:r>
            <w:r>
              <w:rPr>
                <w:u w:val="none"/>
                <w:color w:val="auto"/>
              </w:rPr>
              <w:fldChar w:fldCharType="separate"/>
            </w:r>
            <w:r>
              <w:rPr>
                <w:color w:val="auto"/>
                <w:u w:val="none"/>
              </w:rPr>
              <w:t>&lt;**&gt;</w:t>
            </w:r>
            <w:r>
              <w:rPr>
                <w:u w:val="none"/>
                <w:color w:val="auto"/>
              </w:rPr>
              <w:fldChar w:fldCharType="end"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  <w:tc>
          <w:tcPr>
            <w:tcW w:w="198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88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/>
            </w:pPr>
            <w:r>
              <w:rPr/>
              <w:t>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/>
            </w:pPr>
            <w:bookmarkStart w:id="114" w:name="Par237"/>
            <w:bookmarkEnd w:id="114"/>
            <w:r>
              <w:rPr/>
              <w:t xml:space="preserve">ПОДПРОГРАММА  1. «Обеспечение качества условий проживания населения и улучшения жилищных условий»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Цель 1. Повышение качества и безопасности проживания населения. 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>
        <w:trPr>
          <w:trHeight w:val="78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Целевой  показатель 1. </w:t>
            </w:r>
          </w:p>
          <w:p>
            <w:pPr>
              <w:pStyle w:val="Normal"/>
              <w:widowControl w:val="false"/>
              <w:rPr/>
            </w:pPr>
            <w:r>
              <w:rPr/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037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Целевой показатель 2. </w:t>
            </w:r>
          </w:p>
          <w:p>
            <w:pPr>
              <w:pStyle w:val="Normal"/>
              <w:widowControl w:val="false"/>
              <w:rPr/>
            </w:pPr>
            <w:r>
              <w:rPr/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шт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2. Повышение энергоэффективности использования энергетических ресурсов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Целевой  показатель 3.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92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95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3. Исполнение иных полномочий в жилищном фонде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4.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/>
            </w:pPr>
            <w:r>
              <w:rPr/>
              <w:t>11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/>
            </w:pPr>
            <w:bookmarkStart w:id="115" w:name="Par257"/>
            <w:bookmarkEnd w:id="115"/>
            <w:r>
              <w:rPr/>
              <w:t xml:space="preserve">                                      </w:t>
            </w:r>
            <w:r>
              <w:rPr/>
              <w:t xml:space="preserve">ПОДПРОГРАММА 2. «Развитие коммунальной инфраструктуры»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Цель 2 . Повышение надежности систем и качества, предоставляемых коммунальных услуг.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4. Обеспечение развития коммунальных систем и повышение качества, предоставляемых коммунальных услуг.    </w:t>
            </w:r>
          </w:p>
        </w:tc>
      </w:tr>
      <w:tr>
        <w:trPr>
          <w:trHeight w:val="722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Целевой показатель 5.</w:t>
            </w:r>
          </w:p>
          <w:p>
            <w:pPr>
              <w:pStyle w:val="Normal"/>
              <w:rPr/>
            </w:pPr>
            <w:r>
              <w:rPr/>
              <w:t xml:space="preserve">Повышение качества питьевой воды 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35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Целевой  показатель 6.</w:t>
            </w:r>
          </w:p>
          <w:p>
            <w:pPr>
              <w:pStyle w:val="Normal"/>
              <w:rPr/>
            </w:pPr>
            <w:r>
              <w:rPr/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9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5. Развитие системы энергоснабжения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Целевой показатель 7.</w:t>
            </w:r>
          </w:p>
          <w:p>
            <w:pPr>
              <w:pStyle w:val="Normal"/>
              <w:rPr/>
            </w:pPr>
            <w:r>
              <w:rPr/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6. Повышение энергоэффективности использования энергетических ресурсов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Целевой показатель 8.</w:t>
            </w:r>
          </w:p>
          <w:p>
            <w:pPr>
              <w:pStyle w:val="Normal"/>
              <w:rPr/>
            </w:pPr>
            <w:r>
              <w:rPr/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1341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Задача 7. Исполнение иных полномочий в сфере коммунального хозяйства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>Целевой показатель 9.</w:t>
            </w:r>
          </w:p>
          <w:p>
            <w:pPr>
              <w:pStyle w:val="Normal"/>
              <w:rPr/>
            </w:pPr>
            <w:r>
              <w:rPr/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3.  «Формирование современной городской среды»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Цель 3. Повышение уровня благоустройства городского округа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Задача 8. Обеспечение санитарно-эпидемического состояния и благоустройства территории городского округа 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Целевой  показатель 10.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21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4.  «Развитие дорожной деятельности»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4. Сохранение и развитие 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</w:t>
            </w:r>
          </w:p>
        </w:tc>
        <w:tc>
          <w:tcPr>
            <w:tcW w:w="13447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11.</w:t>
            </w:r>
          </w:p>
          <w:p>
            <w:pPr>
              <w:pStyle w:val="Normal"/>
              <w:spacing w:lineRule="auto" w:line="259" w:before="0" w:after="0"/>
              <w:contextualSpacing/>
              <w:rPr/>
            </w:pPr>
            <w:r>
              <w:rPr/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12.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Доля протяженности автомобильных дорог и улично-дорожной сети, в отношении которых выполнены работы по содержанию 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13.</w:t>
            </w:r>
          </w:p>
          <w:p>
            <w:pPr>
              <w:pStyle w:val="Normal"/>
              <w:widowControl w:val="false"/>
              <w:rPr/>
            </w:pPr>
            <w:r>
              <w:rPr/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12,8</w:t>
            </w:r>
          </w:p>
        </w:tc>
        <w:tc>
          <w:tcPr>
            <w:tcW w:w="70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21,7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8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2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5. Повышение энергоэффективности систем коммунальной инфраструктуры.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</w:t>
            </w:r>
          </w:p>
        </w:tc>
        <w:tc>
          <w:tcPr>
            <w:tcW w:w="134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16.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left="0" w:firstLine="10490"/>
        <w:outlineLvl w:val="1"/>
        <w:rPr/>
      </w:pPr>
      <w:r>
        <w:rPr/>
        <w:t>Приложение N 3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 xml:space="preserve">Развитие городского хозяйства»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116" w:name="Par582"/>
      <w:bookmarkEnd w:id="116"/>
      <w:r>
        <w:rPr/>
        <w:t>ИНФОРМАЦИЯ</w:t>
      </w:r>
    </w:p>
    <w:p>
      <w:pPr>
        <w:pStyle w:val="Normal"/>
        <w:widowControl w:val="false"/>
        <w:jc w:val="center"/>
        <w:rPr/>
      </w:pPr>
      <w:r>
        <w:rPr/>
        <w:t xml:space="preserve">О РЕЗУЛЬТАТАХ ПРОВЕДЕННОГО ОБЩЕСТВЕННОГО ОБСУЖДЕНИЯ </w:t>
      </w:r>
    </w:p>
    <w:p>
      <w:pPr>
        <w:pStyle w:val="Normal"/>
        <w:widowControl w:val="false"/>
        <w:jc w:val="center"/>
        <w:rPr/>
      </w:pPr>
      <w:r>
        <w:rPr/>
        <w:t>ПРОЕКТА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«Развитие городского хозяйства»</w:t>
      </w:r>
    </w:p>
    <w:tbl>
      <w:tblPr>
        <w:tblW w:w="1446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993"/>
        <w:gridCol w:w="2976"/>
        <w:gridCol w:w="4251"/>
        <w:gridCol w:w="3119"/>
        <w:gridCol w:w="3121"/>
      </w:tblGrid>
      <w:tr>
        <w:trPr>
          <w:trHeight w:val="1000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Отправитель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Содержание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Информация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принятии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Причины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</w:tr>
      <w:tr>
        <w:trPr/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492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semiHidden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semiHidden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semiHidden/>
    <w:qFormat/>
    <w:rsid w:val="00c17e9c"/>
    <w:rPr>
      <w:rFonts w:ascii="Calibri" w:hAnsi="Calibri" w:eastAsia="Calibri" w:cs="Times New Roman"/>
      <w:sz w:val="24"/>
      <w:szCs w:val="24"/>
      <w:lang w:eastAsia="ru-RU"/>
    </w:rPr>
  </w:style>
  <w:style w:type="character" w:styleId="Style17" w:customStyle="1">
    <w:name w:val="Текст Знак"/>
    <w:basedOn w:val="DefaultParagraphFont"/>
    <w:link w:val="a9"/>
    <w:semiHidden/>
    <w:qFormat/>
    <w:rsid w:val="00c17e9c"/>
    <w:rPr>
      <w:rFonts w:ascii="Courier New" w:hAnsi="Courier New" w:eastAsia="Calibri" w:cs="Courier New"/>
      <w:sz w:val="20"/>
      <w:szCs w:val="20"/>
      <w:lang w:eastAsia="ru-RU"/>
    </w:rPr>
  </w:style>
  <w:style w:type="character" w:styleId="NoSpacingChar" w:customStyle="1">
    <w:name w:val="No Spacing Char"/>
    <w:basedOn w:val="DefaultParagraphFont"/>
    <w:link w:val="10"/>
    <w:qFormat/>
    <w:locked/>
    <w:rsid w:val="00c17e9c"/>
    <w:rPr>
      <w:rFonts w:ascii="Calibri" w:hAnsi="Calibri" w:cs="Calibri"/>
    </w:rPr>
  </w:style>
  <w:style w:type="character" w:styleId="1" w:customStyle="1">
    <w:name w:val="Основной текст с отступом Знак1"/>
    <w:basedOn w:val="DefaultParagraphFont"/>
    <w:uiPriority w:val="99"/>
    <w:semiHidden/>
    <w:qFormat/>
    <w:rsid w:val="00c17e9c"/>
    <w:rPr>
      <w:sz w:val="24"/>
      <w:szCs w:val="24"/>
    </w:rPr>
  </w:style>
  <w:style w:type="character" w:styleId="11" w:customStyle="1">
    <w:name w:val="Текст Знак1"/>
    <w:basedOn w:val="DefaultParagraphFont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styleId="Style18">
    <w:name w:val="Интернет-ссылка"/>
    <w:basedOn w:val="DefaultParagraphFont"/>
    <w:uiPriority w:val="99"/>
    <w:semiHidden/>
    <w:unhideWhenUsed/>
    <w:rsid w:val="00c17e9c"/>
    <w:rPr>
      <w:color w:val="0000FF"/>
      <w:u w:val="single"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c17e9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b31a1"/>
    <w:rPr>
      <w:b/>
      <w:bCs/>
    </w:rPr>
  </w:style>
  <w:style w:type="character" w:styleId="Style20">
    <w:name w:val="Выделение"/>
    <w:basedOn w:val="DefaultParagraphFont"/>
    <w:uiPriority w:val="20"/>
    <w:qFormat/>
    <w:rsid w:val="00bb31a1"/>
    <w:rPr>
      <w:i/>
      <w:iCs/>
    </w:rPr>
  </w:style>
  <w:style w:type="character" w:styleId="Style21" w:customStyle="1">
    <w:name w:val="Текст выноски Знак"/>
    <w:basedOn w:val="DefaultParagraphFont"/>
    <w:link w:val="af1"/>
    <w:uiPriority w:val="99"/>
    <w:semiHidden/>
    <w:qFormat/>
    <w:rsid w:val="00a8584c"/>
    <w:rPr>
      <w:rFonts w:ascii="Tahoma" w:hAnsi="Tahoma" w:eastAsia="Times New Roman" w:cs="Tahoma"/>
      <w:sz w:val="16"/>
      <w:szCs w:val="16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4"/>
    <w:semiHidden/>
    <w:unhideWhenUsed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6"/>
    <w:semiHidden/>
    <w:unhideWhenUsed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8"/>
    <w:semiHidden/>
    <w:unhideWhenUsed/>
    <w:rsid w:val="00c17e9c"/>
    <w:pPr>
      <w:spacing w:before="0" w:after="120"/>
      <w:ind w:left="283" w:hanging="0"/>
    </w:pPr>
    <w:rPr>
      <w:rFonts w:ascii="Calibri" w:hAnsi="Calibri" w:eastAsia="Calibri"/>
    </w:rPr>
  </w:style>
  <w:style w:type="paragraph" w:styleId="PlainText">
    <w:name w:val="Plain Text"/>
    <w:basedOn w:val="Normal"/>
    <w:link w:val="aa"/>
    <w:semiHidden/>
    <w:unhideWhenUsed/>
    <w:qFormat/>
    <w:rsid w:val="00c17e9c"/>
    <w:pPr/>
    <w:rPr>
      <w:rFonts w:ascii="Courier New" w:hAnsi="Courier New" w:eastAsia="Calibri" w:cs="Courier New"/>
      <w:sz w:val="20"/>
      <w:szCs w:val="20"/>
    </w:rPr>
  </w:style>
  <w:style w:type="paragraph" w:styleId="ConsPlusNonformat" w:customStyle="1">
    <w:name w:val="ConsPlusNonformat"/>
    <w:qFormat/>
    <w:rsid w:val="00c17e9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c17e9c"/>
    <w:pPr>
      <w:spacing w:before="0" w:after="0"/>
      <w:ind w:left="720" w:hanging="0"/>
      <w:contextualSpacing/>
    </w:pPr>
    <w:rPr>
      <w:rFonts w:eastAsia="Calibri"/>
    </w:rPr>
  </w:style>
  <w:style w:type="paragraph" w:styleId="13" w:customStyle="1">
    <w:name w:val="Без интервала1"/>
    <w:link w:val="NoSpacingChar"/>
    <w:qFormat/>
    <w:rsid w:val="00c17e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b1511"/>
    <w:pPr>
      <w:spacing w:beforeAutospacing="1" w:afterAutospacing="1"/>
    </w:pPr>
    <w:rPr/>
  </w:style>
  <w:style w:type="paragraph" w:styleId="ConsPlusNormal" w:customStyle="1">
    <w:name w:val="ConsPlusNormal"/>
    <w:qFormat/>
    <w:rsid w:val="00a04224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2"/>
    <w:uiPriority w:val="99"/>
    <w:semiHidden/>
    <w:unhideWhenUsed/>
    <w:qFormat/>
    <w:rsid w:val="00a858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81a"/>
    <w:pPr>
      <w:spacing w:before="0" w:after="0"/>
      <w:ind w:left="720" w:hanging="0"/>
      <w:contextualSpacing/>
    </w:pPr>
    <w:rPr/>
  </w:style>
  <w:style w:type="paragraph" w:styleId="3" w:customStyle="1">
    <w:name w:val="Основной текст3"/>
    <w:basedOn w:val="Normal"/>
    <w:qFormat/>
    <w:rsid w:val="003d4824"/>
    <w:pPr>
      <w:widowControl w:val="false"/>
      <w:shd w:val="clear" w:color="auto" w:fill="FFFFFF"/>
      <w:spacing w:lineRule="exact" w:line="322" w:before="0" w:after="660"/>
      <w:ind w:hanging="480"/>
      <w:jc w:val="center"/>
    </w:pPr>
    <w:rPr>
      <w:rFonts w:eastAsia="Courier New"/>
      <w:color w:val="000000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17e9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E4E8CE4458EAC669ED786AFDC53DC84EEC74000B19A2C2CCFADFF5C8BG8I2K" TargetMode="External"/><Relationship Id="rId3" Type="http://schemas.openxmlformats.org/officeDocument/2006/relationships/hyperlink" Target="consultantplus://offline/ref=CE4E8CE4458EAC669ED786AFDC53DC84EEC74406B69D2C2CCFADFF5C8BG8I2K" TargetMode="External"/><Relationship Id="rId4" Type="http://schemas.openxmlformats.org/officeDocument/2006/relationships/hyperlink" Target="consultantplus://offline/ref=CE4E8CE4458EAC669ED798A2CA3F828EEECB190BB59B237293FEF90BD4D2EEA196FDD07816C42166783837AFG3IDK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18FC-B0E5-4172-9FEF-F3C9456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5066</TotalTime>
  <Application>LibreOffice/6.4.4.2$Windows_x86 LibreOffice_project/3d775be2011f3886db32dfd395a6a6d1ca2630ff</Application>
  <Pages>37</Pages>
  <Words>6449</Words>
  <Characters>41481</Characters>
  <CharactersWithSpaces>48467</CharactersWithSpaces>
  <Paragraphs>1212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2015-08-31T10:20:00Z</dcterms:created>
  <dc:creator>Admin</dc:creator>
  <dc:description/>
  <dc:language>ru-RU</dc:language>
  <cp:lastModifiedBy/>
  <cp:lastPrinted>2020-07-07T17:17:56Z</cp:lastPrinted>
  <dcterms:modified xsi:type="dcterms:W3CDTF">2020-07-15T14:27:49Z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