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06" w:rsidRPr="00285606" w:rsidRDefault="00285606" w:rsidP="00285606">
      <w:pPr>
        <w:ind w:left="5600"/>
      </w:pPr>
      <w:r w:rsidRPr="00285606">
        <w:rPr>
          <w:rStyle w:val="21"/>
        </w:rPr>
        <w:t>Утверждено</w:t>
      </w:r>
    </w:p>
    <w:p w:rsidR="00285606" w:rsidRPr="00285606" w:rsidRDefault="00285606" w:rsidP="00285606">
      <w:pPr>
        <w:tabs>
          <w:tab w:val="left" w:pos="7971"/>
          <w:tab w:val="right" w:pos="9964"/>
        </w:tabs>
        <w:ind w:left="5600"/>
        <w:rPr>
          <w:rStyle w:val="21"/>
        </w:rPr>
      </w:pPr>
      <w:r w:rsidRPr="00285606">
        <w:rPr>
          <w:rStyle w:val="21"/>
        </w:rPr>
        <w:t xml:space="preserve">постановлением администрации городского </w:t>
      </w:r>
      <w:proofErr w:type="gramStart"/>
      <w:r w:rsidRPr="00285606">
        <w:rPr>
          <w:rStyle w:val="21"/>
        </w:rPr>
        <w:t>округа</w:t>
      </w:r>
      <w:proofErr w:type="gramEnd"/>
      <w:r w:rsidRPr="00285606">
        <w:rPr>
          <w:rStyle w:val="21"/>
        </w:rPr>
        <w:t xml:space="preserve"> ЗАТО Свободный от 11.01.2018  № 05</w:t>
      </w:r>
    </w:p>
    <w:p w:rsidR="00285606" w:rsidRPr="00285606" w:rsidRDefault="00285606" w:rsidP="00285606">
      <w:pPr>
        <w:tabs>
          <w:tab w:val="left" w:pos="7971"/>
          <w:tab w:val="right" w:pos="9964"/>
        </w:tabs>
        <w:ind w:left="5600"/>
        <w:rPr>
          <w:rStyle w:val="21"/>
        </w:rPr>
      </w:pPr>
    </w:p>
    <w:p w:rsidR="00285606" w:rsidRPr="00285606" w:rsidRDefault="00285606" w:rsidP="00285606">
      <w:pPr>
        <w:ind w:left="40"/>
        <w:jc w:val="center"/>
        <w:rPr>
          <w:rStyle w:val="3"/>
          <w:bCs w:val="0"/>
        </w:rPr>
      </w:pPr>
      <w:r w:rsidRPr="00285606">
        <w:rPr>
          <w:rStyle w:val="3"/>
        </w:rPr>
        <w:t>Положение об организации и проведении голосования</w:t>
      </w:r>
      <w:r w:rsidRPr="00285606">
        <w:rPr>
          <w:rStyle w:val="3"/>
        </w:rPr>
        <w:br/>
        <w:t>по отбору общественных территорий, подлежащих благоустройству</w:t>
      </w:r>
      <w:r w:rsidRPr="00285606">
        <w:rPr>
          <w:rStyle w:val="3"/>
        </w:rPr>
        <w:br/>
        <w:t xml:space="preserve">в первоочередном порядке в 2018 году в рамках реализации муниципальной программы «Формирование современной городской среды на 2018 - 2022 годы»  на территории городского </w:t>
      </w:r>
      <w:proofErr w:type="gramStart"/>
      <w:r w:rsidRPr="00285606">
        <w:rPr>
          <w:rStyle w:val="3"/>
        </w:rPr>
        <w:t>округа</w:t>
      </w:r>
      <w:proofErr w:type="gramEnd"/>
      <w:r w:rsidRPr="00285606">
        <w:rPr>
          <w:rStyle w:val="3"/>
        </w:rPr>
        <w:t xml:space="preserve"> ЗАТО Свободный</w:t>
      </w:r>
    </w:p>
    <w:p w:rsidR="00285606" w:rsidRPr="00285606" w:rsidRDefault="00285606" w:rsidP="00285606">
      <w:pPr>
        <w:ind w:left="40"/>
      </w:pP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074"/>
        </w:tabs>
        <w:ind w:firstLine="740"/>
        <w:jc w:val="both"/>
      </w:pPr>
      <w:r w:rsidRPr="00285606">
        <w:rPr>
          <w:rStyle w:val="21"/>
        </w:rPr>
        <w:t>Настоящее Положение разработано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</w:t>
      </w:r>
      <w:bookmarkStart w:id="0" w:name="_GoBack"/>
      <w:bookmarkEnd w:id="0"/>
      <w:r w:rsidRPr="00285606">
        <w:rPr>
          <w:rStyle w:val="21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074"/>
        </w:tabs>
        <w:ind w:firstLine="740"/>
        <w:jc w:val="both"/>
      </w:pPr>
      <w:r w:rsidRPr="00285606">
        <w:rPr>
          <w:rStyle w:val="21"/>
        </w:rPr>
        <w:t xml:space="preserve">В целях определения общественных территорий городского </w:t>
      </w:r>
      <w:proofErr w:type="gramStart"/>
      <w:r w:rsidRPr="00285606">
        <w:rPr>
          <w:rStyle w:val="21"/>
        </w:rPr>
        <w:t>округа</w:t>
      </w:r>
      <w:proofErr w:type="gramEnd"/>
      <w:r w:rsidRPr="00285606">
        <w:rPr>
          <w:rStyle w:val="21"/>
        </w:rPr>
        <w:t xml:space="preserve"> ЗАТО Свободный, подлежащих благоустройству в первоочередном порядке в 2018 году в рамках муниципальной программы «Формирование современной городской среды на 2018 - 2022 годы» на территории городского округа ЗАТО Свободный, утвержденной постановлением администрации городского округа ЗАТО Свободный от 25.12.2017 № 845, проводится голосование жителей городского округа ЗАТО Свободный по отбору таких общественных территорий (далее - голосование по отбору общественных территорий, голосование).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074"/>
        </w:tabs>
        <w:ind w:firstLine="740"/>
        <w:jc w:val="both"/>
      </w:pPr>
      <w:r w:rsidRPr="00285606">
        <w:rPr>
          <w:rStyle w:val="21"/>
        </w:rPr>
        <w:t xml:space="preserve">Решение о назначении голосования по отбору общественных территорий принимается главой администрации городского </w:t>
      </w:r>
      <w:proofErr w:type="gramStart"/>
      <w:r w:rsidRPr="00285606">
        <w:rPr>
          <w:rStyle w:val="21"/>
        </w:rPr>
        <w:t>округа</w:t>
      </w:r>
      <w:proofErr w:type="gramEnd"/>
      <w:r w:rsidRPr="00285606">
        <w:rPr>
          <w:rStyle w:val="21"/>
        </w:rPr>
        <w:t xml:space="preserve"> ЗАТО Свободный в форме постановления на основании решения, принятого общественной комиссией по реализации муниципальной программы «Формирование современной городской среды на 2018-2020 годы» (далее - общественная комиссия), но не ранее 15 календарных дней с момента публикации дизайн-проектов общественных территорий,</w:t>
      </w:r>
      <w:r w:rsidRPr="00285606">
        <w:rPr>
          <w:rStyle w:val="21"/>
        </w:rPr>
        <w:tab/>
        <w:t>в том числе описания предполагаемых мероприятий по благоустройству, с целью ознакомления с ними всех заинтересованных лиц.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092"/>
        </w:tabs>
        <w:ind w:firstLine="760"/>
        <w:jc w:val="both"/>
      </w:pPr>
      <w:proofErr w:type="gramStart"/>
      <w:r w:rsidRPr="00285606">
        <w:rPr>
          <w:rStyle w:val="21"/>
        </w:rPr>
        <w:t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общественных территорий, отобранных общественной комиссией для голосования, в соответствии с подпунктом «д» пункта 14 (2)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</w:t>
      </w:r>
      <w:proofErr w:type="gramEnd"/>
      <w:r w:rsidRPr="00285606">
        <w:rPr>
          <w:rStyle w:val="21"/>
        </w:rPr>
        <w:t xml:space="preserve"> постановлением Правительства Российской Федерации от 10.02.2017 № 169.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092"/>
        </w:tabs>
        <w:ind w:firstLine="760"/>
        <w:jc w:val="both"/>
      </w:pPr>
      <w:r w:rsidRPr="00285606">
        <w:rPr>
          <w:rStyle w:val="21"/>
        </w:rPr>
        <w:t xml:space="preserve">В постановлении администрации городского </w:t>
      </w:r>
      <w:proofErr w:type="gramStart"/>
      <w:r w:rsidRPr="00285606">
        <w:rPr>
          <w:rStyle w:val="21"/>
        </w:rPr>
        <w:t>округа</w:t>
      </w:r>
      <w:proofErr w:type="gramEnd"/>
      <w:r w:rsidRPr="00285606">
        <w:rPr>
          <w:rStyle w:val="21"/>
        </w:rPr>
        <w:t xml:space="preserve"> ЗАТО Свободный о назначении голосования по отбору общественных территорий устанавливаются следующие сведения:</w:t>
      </w:r>
    </w:p>
    <w:p w:rsidR="00285606" w:rsidRPr="00285606" w:rsidRDefault="00285606" w:rsidP="00285606">
      <w:pPr>
        <w:widowControl w:val="0"/>
        <w:numPr>
          <w:ilvl w:val="0"/>
          <w:numId w:val="2"/>
        </w:numPr>
        <w:tabs>
          <w:tab w:val="left" w:pos="1092"/>
        </w:tabs>
        <w:ind w:firstLine="760"/>
        <w:jc w:val="both"/>
      </w:pPr>
      <w:r w:rsidRPr="00285606">
        <w:rPr>
          <w:rStyle w:val="21"/>
        </w:rPr>
        <w:t>дата и время проведения голосования, с учетом условий, установленных в пунктах 4 и 7 настоящего Положения;</w:t>
      </w:r>
    </w:p>
    <w:p w:rsidR="00285606" w:rsidRPr="00285606" w:rsidRDefault="00285606" w:rsidP="00285606">
      <w:pPr>
        <w:widowControl w:val="0"/>
        <w:numPr>
          <w:ilvl w:val="0"/>
          <w:numId w:val="2"/>
        </w:numPr>
        <w:tabs>
          <w:tab w:val="left" w:pos="1258"/>
        </w:tabs>
        <w:ind w:firstLine="760"/>
        <w:jc w:val="both"/>
      </w:pPr>
      <w:r w:rsidRPr="00285606">
        <w:rPr>
          <w:rStyle w:val="21"/>
        </w:rPr>
        <w:lastRenderedPageBreak/>
        <w:t>места проведения голосования (адреса территориальных счетных участков);</w:t>
      </w:r>
    </w:p>
    <w:p w:rsidR="00285606" w:rsidRPr="00285606" w:rsidRDefault="00285606" w:rsidP="00285606">
      <w:pPr>
        <w:widowControl w:val="0"/>
        <w:numPr>
          <w:ilvl w:val="0"/>
          <w:numId w:val="2"/>
        </w:numPr>
        <w:tabs>
          <w:tab w:val="left" w:pos="1111"/>
        </w:tabs>
        <w:ind w:firstLine="760"/>
        <w:jc w:val="both"/>
      </w:pPr>
      <w:r w:rsidRPr="00285606">
        <w:rPr>
          <w:rStyle w:val="21"/>
        </w:rPr>
        <w:t>перечень общественных территорий, вынесенных на голосование.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258"/>
        </w:tabs>
        <w:ind w:firstLine="760"/>
        <w:jc w:val="both"/>
      </w:pPr>
      <w:r w:rsidRPr="00285606">
        <w:rPr>
          <w:rStyle w:val="21"/>
        </w:rPr>
        <w:t xml:space="preserve">Постановление администрации городского </w:t>
      </w:r>
      <w:proofErr w:type="gramStart"/>
      <w:r w:rsidRPr="00285606">
        <w:rPr>
          <w:rStyle w:val="21"/>
        </w:rPr>
        <w:t>округа</w:t>
      </w:r>
      <w:proofErr w:type="gramEnd"/>
      <w:r w:rsidRPr="00285606">
        <w:rPr>
          <w:rStyle w:val="21"/>
        </w:rPr>
        <w:t xml:space="preserve"> ЗАТО Свободный о назначении голосования по отбору общественных территорий подлежит опубликованию в газете «Свободные вести» и размещению на официальном сайте администрации городского округа ЗАТО Свободный в информационно-телекоммуникационной сети «Интернет» не менее чем за десять дней до дня его проведения.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092"/>
        </w:tabs>
        <w:ind w:firstLine="760"/>
        <w:jc w:val="both"/>
      </w:pPr>
      <w:r w:rsidRPr="00285606">
        <w:rPr>
          <w:rStyle w:val="21"/>
        </w:rPr>
        <w:t xml:space="preserve">Голосование по отбору общественных территорий организуется на счетных участках, определённых постановлением администрации городского </w:t>
      </w:r>
      <w:proofErr w:type="gramStart"/>
      <w:r w:rsidRPr="00285606">
        <w:rPr>
          <w:rStyle w:val="21"/>
        </w:rPr>
        <w:t>округа</w:t>
      </w:r>
      <w:proofErr w:type="gramEnd"/>
      <w:r w:rsidRPr="00285606">
        <w:rPr>
          <w:rStyle w:val="21"/>
        </w:rPr>
        <w:t xml:space="preserve"> ЗАТО Свободный, в нерабочий день (суббота либо воскресенье) с 9.00 ч. до 19.00 ч. по местному времени.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 xml:space="preserve">Функции по организации голосования по отбору общественных территорий возлагаются на общественную комиссию, действующую на основании постановления администрации городского </w:t>
      </w:r>
      <w:proofErr w:type="gramStart"/>
      <w:r w:rsidRPr="00285606">
        <w:rPr>
          <w:rStyle w:val="21"/>
        </w:rPr>
        <w:t>округа</w:t>
      </w:r>
      <w:proofErr w:type="gramEnd"/>
      <w:r w:rsidRPr="00285606">
        <w:rPr>
          <w:rStyle w:val="21"/>
        </w:rPr>
        <w:t xml:space="preserve"> ЗАТО Свободный № 789 от 04.12.2017 «Об утверждении состава общественной комиссии по обеспечению реализации подпрограммы «Формирование современной городской среды» муниципальной программы «Развитие городского хозяйства на 2016-2020 годы».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092"/>
        </w:tabs>
        <w:ind w:firstLine="760"/>
        <w:jc w:val="both"/>
      </w:pPr>
      <w:r w:rsidRPr="00285606">
        <w:rPr>
          <w:rStyle w:val="21"/>
        </w:rPr>
        <w:t>В целях организации голосования общественная комиссия обладает следующими полномочиями:</w:t>
      </w:r>
    </w:p>
    <w:p w:rsidR="00285606" w:rsidRPr="00285606" w:rsidRDefault="00285606" w:rsidP="00285606">
      <w:pPr>
        <w:widowControl w:val="0"/>
        <w:numPr>
          <w:ilvl w:val="0"/>
          <w:numId w:val="3"/>
        </w:numPr>
        <w:tabs>
          <w:tab w:val="left" w:pos="1092"/>
        </w:tabs>
        <w:ind w:firstLine="760"/>
        <w:jc w:val="both"/>
      </w:pPr>
      <w:r w:rsidRPr="00285606">
        <w:rPr>
          <w:rStyle w:val="21"/>
        </w:rPr>
        <w:t>формирование территориальных счетных комиссий в соответствии с пунктом 10 настоящего Положения;</w:t>
      </w:r>
    </w:p>
    <w:p w:rsidR="00285606" w:rsidRPr="00285606" w:rsidRDefault="00285606" w:rsidP="00285606">
      <w:pPr>
        <w:widowControl w:val="0"/>
        <w:numPr>
          <w:ilvl w:val="0"/>
          <w:numId w:val="3"/>
        </w:numPr>
        <w:tabs>
          <w:tab w:val="left" w:pos="1073"/>
        </w:tabs>
        <w:ind w:firstLine="760"/>
        <w:jc w:val="both"/>
      </w:pPr>
      <w:r w:rsidRPr="00285606">
        <w:rPr>
          <w:rStyle w:val="21"/>
        </w:rPr>
        <w:t>обеспечение передачи бланков бюллетеней и иной необходимой для проведения голосования документации, предусмотренной настоящим Положением, в территориальные счетные комиссии;</w:t>
      </w:r>
    </w:p>
    <w:p w:rsidR="00285606" w:rsidRPr="00285606" w:rsidRDefault="00285606" w:rsidP="00285606">
      <w:pPr>
        <w:widowControl w:val="0"/>
        <w:numPr>
          <w:ilvl w:val="0"/>
          <w:numId w:val="3"/>
        </w:numPr>
        <w:tabs>
          <w:tab w:val="left" w:pos="1069"/>
        </w:tabs>
        <w:ind w:firstLine="760"/>
        <w:jc w:val="both"/>
      </w:pPr>
      <w:r w:rsidRPr="00285606">
        <w:rPr>
          <w:rStyle w:val="21"/>
        </w:rPr>
        <w:t>рассмотрение обращений граждан по вопросам, связанным с проведением голосования по отбору общественных территорий;</w:t>
      </w:r>
    </w:p>
    <w:p w:rsidR="00285606" w:rsidRPr="00285606" w:rsidRDefault="00285606" w:rsidP="00285606">
      <w:pPr>
        <w:widowControl w:val="0"/>
        <w:numPr>
          <w:ilvl w:val="0"/>
          <w:numId w:val="3"/>
        </w:numPr>
        <w:tabs>
          <w:tab w:val="left" w:pos="1073"/>
        </w:tabs>
        <w:ind w:firstLine="760"/>
        <w:jc w:val="both"/>
      </w:pPr>
      <w:r w:rsidRPr="00285606">
        <w:rPr>
          <w:rStyle w:val="21"/>
        </w:rPr>
        <w:t xml:space="preserve">подведение общих итогов голосования по отбору общественных территорий в соответствии с пунктом 21 настоящего Положения и представление их главе администрации городского </w:t>
      </w:r>
      <w:proofErr w:type="gramStart"/>
      <w:r w:rsidRPr="00285606">
        <w:rPr>
          <w:rStyle w:val="21"/>
        </w:rPr>
        <w:t>округа</w:t>
      </w:r>
      <w:proofErr w:type="gramEnd"/>
      <w:r w:rsidRPr="00285606">
        <w:rPr>
          <w:rStyle w:val="21"/>
        </w:rPr>
        <w:t xml:space="preserve"> ЗАТО Свободный.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245"/>
        </w:tabs>
        <w:ind w:firstLine="760"/>
        <w:jc w:val="both"/>
      </w:pPr>
      <w:r w:rsidRPr="00285606">
        <w:rPr>
          <w:rStyle w:val="21"/>
        </w:rPr>
        <w:t xml:space="preserve">Материально-техническое обеспечение проведения голосования возлагается на администрацию городского </w:t>
      </w:r>
      <w:proofErr w:type="gramStart"/>
      <w:r w:rsidRPr="00285606">
        <w:rPr>
          <w:rStyle w:val="21"/>
        </w:rPr>
        <w:t>округа</w:t>
      </w:r>
      <w:proofErr w:type="gramEnd"/>
      <w:r w:rsidRPr="00285606">
        <w:rPr>
          <w:rStyle w:val="21"/>
        </w:rPr>
        <w:t xml:space="preserve"> ЗАТО Свободный.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 xml:space="preserve">В целях материально-технического обеспечения проведения голосования администрация городского </w:t>
      </w:r>
      <w:proofErr w:type="gramStart"/>
      <w:r w:rsidRPr="00285606">
        <w:rPr>
          <w:rStyle w:val="21"/>
        </w:rPr>
        <w:t>округа</w:t>
      </w:r>
      <w:proofErr w:type="gramEnd"/>
      <w:r w:rsidRPr="00285606">
        <w:rPr>
          <w:rStyle w:val="21"/>
        </w:rPr>
        <w:t xml:space="preserve"> ЗАТО Свободный:</w:t>
      </w:r>
    </w:p>
    <w:p w:rsidR="00285606" w:rsidRPr="00285606" w:rsidRDefault="00285606" w:rsidP="00285606">
      <w:pPr>
        <w:widowControl w:val="0"/>
        <w:numPr>
          <w:ilvl w:val="0"/>
          <w:numId w:val="4"/>
        </w:numPr>
        <w:tabs>
          <w:tab w:val="left" w:pos="1245"/>
        </w:tabs>
        <w:ind w:firstLine="760"/>
        <w:jc w:val="both"/>
      </w:pPr>
      <w:r w:rsidRPr="00285606">
        <w:rPr>
          <w:rStyle w:val="21"/>
        </w:rPr>
        <w:t>обеспечивает изготовление бланков бюллетеней для проведения голосования (по форме, установленной Приложением № 3 к настоящему Положению) и иной необходимой для проведения голосования документации, предусмотренной настоящим Положением;</w:t>
      </w:r>
    </w:p>
    <w:p w:rsidR="00285606" w:rsidRPr="00285606" w:rsidRDefault="00285606" w:rsidP="00285606">
      <w:pPr>
        <w:widowControl w:val="0"/>
        <w:numPr>
          <w:ilvl w:val="0"/>
          <w:numId w:val="4"/>
        </w:numPr>
        <w:tabs>
          <w:tab w:val="left" w:pos="1245"/>
        </w:tabs>
        <w:ind w:firstLine="760"/>
        <w:jc w:val="both"/>
      </w:pPr>
      <w:r w:rsidRPr="00285606">
        <w:rPr>
          <w:rStyle w:val="21"/>
        </w:rPr>
        <w:t>оборудует территориальные счетные участки необходимой мебелью, оргтехникой, средствами связи, иным необходимым для голосования имуществом;</w:t>
      </w:r>
    </w:p>
    <w:p w:rsidR="00285606" w:rsidRPr="00285606" w:rsidRDefault="00285606" w:rsidP="00285606">
      <w:pPr>
        <w:widowControl w:val="0"/>
        <w:numPr>
          <w:ilvl w:val="0"/>
          <w:numId w:val="4"/>
        </w:numPr>
        <w:tabs>
          <w:tab w:val="left" w:pos="1245"/>
        </w:tabs>
        <w:ind w:firstLine="760"/>
        <w:jc w:val="both"/>
      </w:pPr>
      <w:r w:rsidRPr="00285606">
        <w:rPr>
          <w:rStyle w:val="21"/>
        </w:rPr>
        <w:t xml:space="preserve">обеспечивает опубликование в газете «Свободные вести» и размещение на официальном сайте администрации городского </w:t>
      </w:r>
      <w:proofErr w:type="gramStart"/>
      <w:r w:rsidRPr="00285606">
        <w:rPr>
          <w:rStyle w:val="21"/>
        </w:rPr>
        <w:t>округа</w:t>
      </w:r>
      <w:proofErr w:type="gramEnd"/>
      <w:r w:rsidRPr="00285606">
        <w:rPr>
          <w:rStyle w:val="21"/>
        </w:rPr>
        <w:t xml:space="preserve"> ЗАТО Свободный муниципальных правовых актов и иной, предусмотренной настоящим Положением информации, связанной с голосованием.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245"/>
        </w:tabs>
        <w:ind w:firstLine="760"/>
        <w:jc w:val="both"/>
      </w:pPr>
      <w:r w:rsidRPr="00285606">
        <w:rPr>
          <w:rStyle w:val="21"/>
        </w:rPr>
        <w:lastRenderedPageBreak/>
        <w:t xml:space="preserve">Состав территориальных счетных комиссий утверждается решением общественной комиссии, оформленным в виде протокола заседания общественной комиссии. Решение об утверждении состава территориальных счетных комиссий должно быть принято не позднее, чем за пять дней до дня проведения голосования, установленного постановлением администрации городского </w:t>
      </w:r>
      <w:proofErr w:type="gramStart"/>
      <w:r w:rsidRPr="00285606">
        <w:rPr>
          <w:rStyle w:val="21"/>
        </w:rPr>
        <w:t>округа</w:t>
      </w:r>
      <w:proofErr w:type="gramEnd"/>
      <w:r w:rsidRPr="00285606">
        <w:rPr>
          <w:rStyle w:val="21"/>
        </w:rPr>
        <w:t xml:space="preserve"> ЗАТО Свободный.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>При формировании территориальных счетных комиссий общественная комиссия учитывает предложения, полученные от политических партий, иных общественных объединений, собраний граждан.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>Членами территориальной счетной комиссии не могут быть лица, являющиеся инициаторами выдвижения проектов благоустройства общественных территорий, вынесенных на голосование.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>Количественный состав членов территориальных счетных комиссий составляет пять человек.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>В составе каждой территориальной счетной комиссии назначаются председатель и секретарь территориальной счетной комиссии.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245"/>
        </w:tabs>
        <w:ind w:firstLine="760"/>
        <w:jc w:val="both"/>
      </w:pPr>
      <w:r w:rsidRPr="00285606">
        <w:rPr>
          <w:rStyle w:val="21"/>
        </w:rPr>
        <w:t>Территориальные счетные комиссии обеспечивают проведение голосования по отбору общественных территорий в соответствии с пунктами 12 - 20 настоящего Положения.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245"/>
        </w:tabs>
        <w:ind w:firstLine="760"/>
        <w:jc w:val="both"/>
      </w:pPr>
      <w:r w:rsidRPr="00285606">
        <w:rPr>
          <w:rStyle w:val="21"/>
        </w:rPr>
        <w:t>Голосование по отбору общественных территорий является рейтинговым.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>На каждом территориальном счетном участке оборудуются места для тайного голосования и устанавливаются опечатанные ящики для голосования.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 xml:space="preserve">Правом голосования по отбору общественных территорий обладают граждане Российской Федерации, достигшие 16-летнего возраста, проживающие на территории городского </w:t>
      </w:r>
      <w:proofErr w:type="gramStart"/>
      <w:r w:rsidRPr="00285606">
        <w:rPr>
          <w:rStyle w:val="21"/>
        </w:rPr>
        <w:t>округа</w:t>
      </w:r>
      <w:proofErr w:type="gramEnd"/>
      <w:r w:rsidRPr="00285606">
        <w:rPr>
          <w:rStyle w:val="21"/>
        </w:rPr>
        <w:t xml:space="preserve"> ЗАТО Свободный (далее - участник голосования), давшие согласие на обработку своих персональных данных в соответствии с Федеральным законом от 27 июля 2006 года № 152-ФЗ «О персональных данных».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240"/>
        </w:tabs>
        <w:ind w:firstLine="760"/>
        <w:jc w:val="both"/>
      </w:pPr>
      <w:r w:rsidRPr="00285606">
        <w:rPr>
          <w:rStyle w:val="21"/>
        </w:rPr>
        <w:t>Члены территориальных счетных комиссий составляют список граждан, участвовавших в голосовании (далее - список).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>В список включаются:</w:t>
      </w:r>
    </w:p>
    <w:p w:rsidR="00285606" w:rsidRPr="00285606" w:rsidRDefault="00285606" w:rsidP="00285606">
      <w:pPr>
        <w:widowControl w:val="0"/>
        <w:numPr>
          <w:ilvl w:val="0"/>
          <w:numId w:val="5"/>
        </w:numPr>
        <w:tabs>
          <w:tab w:val="left" w:pos="954"/>
        </w:tabs>
        <w:ind w:firstLine="760"/>
        <w:jc w:val="both"/>
      </w:pPr>
      <w:r w:rsidRPr="00285606">
        <w:rPr>
          <w:rStyle w:val="21"/>
        </w:rPr>
        <w:t>фамилия, имя и отчество (при наличии) участника голосования, серия и номер паспорта, адрес места жительства участника голосования;</w:t>
      </w:r>
    </w:p>
    <w:p w:rsidR="00285606" w:rsidRPr="00285606" w:rsidRDefault="00285606" w:rsidP="00285606">
      <w:pPr>
        <w:widowControl w:val="0"/>
        <w:numPr>
          <w:ilvl w:val="0"/>
          <w:numId w:val="5"/>
        </w:numPr>
        <w:tabs>
          <w:tab w:val="left" w:pos="954"/>
        </w:tabs>
        <w:ind w:firstLine="760"/>
        <w:jc w:val="both"/>
      </w:pPr>
      <w:r w:rsidRPr="00285606">
        <w:rPr>
          <w:rStyle w:val="21"/>
        </w:rPr>
        <w:t>графа для проставления участником голосования подписи за полученный им бюллетень;</w:t>
      </w:r>
    </w:p>
    <w:p w:rsidR="00285606" w:rsidRPr="00285606" w:rsidRDefault="00285606" w:rsidP="00285606">
      <w:pPr>
        <w:widowControl w:val="0"/>
        <w:numPr>
          <w:ilvl w:val="0"/>
          <w:numId w:val="5"/>
        </w:numPr>
        <w:tabs>
          <w:tab w:val="left" w:pos="954"/>
        </w:tabs>
        <w:ind w:firstLine="760"/>
        <w:jc w:val="both"/>
      </w:pPr>
      <w:r w:rsidRPr="00285606">
        <w:rPr>
          <w:rStyle w:val="21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240"/>
        </w:tabs>
        <w:ind w:firstLine="760"/>
        <w:jc w:val="both"/>
      </w:pPr>
      <w:r w:rsidRPr="00285606">
        <w:rPr>
          <w:rStyle w:val="21"/>
        </w:rPr>
        <w:t>Для получения бюллетеня участник голосования предъявляет члену территориальной счетной комиссии паспорт гражданина Российской Федерации, подписывает согласие на обработку персональных данных, после чего получает бюллетень для голосования и ставит подпись в списке за получение бюллетеня.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lastRenderedPageBreak/>
        <w:t>Член территориальной счетной комиссии разъясняет участнику голосования порядок голосования в соответствии с пунктом 15 настоящего Положения.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240"/>
        </w:tabs>
        <w:ind w:firstLine="760"/>
        <w:jc w:val="both"/>
      </w:pPr>
      <w:r w:rsidRPr="00285606">
        <w:rPr>
          <w:rStyle w:val="21"/>
        </w:rPr>
        <w:t>Участники голосования голосуют непосредственно. Голосование представителя гражданина не допускается. Каждый участник голосования имеет один голос.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>Голосование проводится в кабинке для голосования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>Участник голосования имеет право отметить в бюллетене не более трех общественных территорий.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>После заполнения бюллетеня участник голосования опускает его в ящик для голосования.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240"/>
        </w:tabs>
        <w:ind w:firstLine="760"/>
        <w:jc w:val="both"/>
      </w:pPr>
      <w:r w:rsidRPr="00285606">
        <w:rPr>
          <w:rStyle w:val="21"/>
        </w:rPr>
        <w:t>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>Председатель территориальной счетной комиссии обеспечивает порядок при подсчете голосов.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466"/>
          <w:tab w:val="left" w:pos="4198"/>
          <w:tab w:val="left" w:pos="6655"/>
        </w:tabs>
        <w:ind w:firstLine="780"/>
        <w:jc w:val="both"/>
      </w:pPr>
      <w:r w:rsidRPr="00285606">
        <w:rPr>
          <w:rStyle w:val="21"/>
        </w:rPr>
        <w:t>Непосредственный</w:t>
      </w:r>
      <w:r w:rsidRPr="00285606">
        <w:rPr>
          <w:rStyle w:val="21"/>
        </w:rPr>
        <w:tab/>
        <w:t>подсчет голосов</w:t>
      </w:r>
      <w:r w:rsidRPr="00285606">
        <w:rPr>
          <w:rStyle w:val="21"/>
        </w:rPr>
        <w:tab/>
        <w:t>участников голосования производится по находящимся в ящиках для голосования бюллетеням членами территориальной счетной комиссии.</w:t>
      </w:r>
    </w:p>
    <w:p w:rsidR="00285606" w:rsidRPr="00285606" w:rsidRDefault="00285606" w:rsidP="00285606">
      <w:pPr>
        <w:ind w:firstLine="780"/>
        <w:jc w:val="both"/>
      </w:pPr>
      <w:r w:rsidRPr="00285606">
        <w:rPr>
          <w:rStyle w:val="21"/>
        </w:rPr>
        <w:t>При этом фиксируется общее количество участников голосования, принявших участие в голосовании.</w:t>
      </w:r>
    </w:p>
    <w:p w:rsidR="00285606" w:rsidRPr="00285606" w:rsidRDefault="00285606" w:rsidP="00285606">
      <w:pPr>
        <w:ind w:firstLine="780"/>
        <w:jc w:val="both"/>
      </w:pPr>
      <w:r w:rsidRPr="00285606">
        <w:rPr>
          <w:rStyle w:val="21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данные суммируются.</w:t>
      </w:r>
    </w:p>
    <w:p w:rsidR="00285606" w:rsidRPr="00285606" w:rsidRDefault="00285606" w:rsidP="00285606">
      <w:pPr>
        <w:ind w:firstLine="780"/>
        <w:jc w:val="both"/>
      </w:pPr>
      <w:r w:rsidRPr="00285606">
        <w:rPr>
          <w:rStyle w:val="21"/>
        </w:rPr>
        <w:t xml:space="preserve">Недействительные бюллетени при подсчете голосов не учитываются. </w:t>
      </w:r>
      <w:proofErr w:type="gramStart"/>
      <w:r w:rsidRPr="00285606">
        <w:rPr>
          <w:rStyle w:val="21"/>
        </w:rPr>
        <w:t>Недействительными считаются бюллетени, которые не содержат ни одной отметки в квадратах напротив общественных территорий, и бюллетени, в которых участник голосования отметил более трех общественных территорий, а также любые иные бюллетени, из которых невозможно установить волеизъявление участника голосования.</w:t>
      </w:r>
      <w:proofErr w:type="gramEnd"/>
      <w:r w:rsidRPr="00285606">
        <w:rPr>
          <w:rStyle w:val="21"/>
        </w:rPr>
        <w:t xml:space="preserve"> На оборотной стороне недействительного бюллетеня указываются причины признания его </w:t>
      </w:r>
      <w:proofErr w:type="gramStart"/>
      <w:r w:rsidRPr="00285606">
        <w:rPr>
          <w:rStyle w:val="21"/>
        </w:rPr>
        <w:t>недействительным</w:t>
      </w:r>
      <w:proofErr w:type="gramEnd"/>
      <w:r w:rsidRPr="00285606">
        <w:rPr>
          <w:rStyle w:val="21"/>
        </w:rPr>
        <w:t>. Эта запись подтверждается подписью председателя территориальной счетной комиссии. Недействительные бюллетени подсчитываются и суммируются отдельно.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301"/>
        </w:tabs>
        <w:ind w:firstLine="780"/>
        <w:jc w:val="both"/>
      </w:pPr>
      <w:r w:rsidRPr="00285606">
        <w:rPr>
          <w:rStyle w:val="21"/>
        </w:rPr>
        <w:t xml:space="preserve">После завершения подсчета действительные и недействительные бюллетени упаковываются в отдельные пачки, мешки или коробки, на которых указываются наименование счетного участка, число упакованных действительных и недействительных бюллетеней. Пачки, мешки или коробки с бюллетенями </w:t>
      </w:r>
      <w:r w:rsidRPr="00285606">
        <w:rPr>
          <w:rStyle w:val="21"/>
        </w:rPr>
        <w:lastRenderedPageBreak/>
        <w:t>заклеиваются и скрепляются подписью председателя территориальной счетной комиссии.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172"/>
        </w:tabs>
        <w:ind w:firstLine="780"/>
        <w:jc w:val="both"/>
      </w:pPr>
      <w:r w:rsidRPr="00285606">
        <w:rPr>
          <w:rStyle w:val="21"/>
        </w:rPr>
        <w:t>После проведения всех необходимых действий и суммирования голосов, поданных участниками голосования за каждую общественную территорию, вынесенную на голосование, территориальная счетная комиссия устанавливает итоги голосования на своем счетном участке путем составления рейтинга общественных территорий.</w:t>
      </w:r>
    </w:p>
    <w:p w:rsidR="00285606" w:rsidRPr="00285606" w:rsidRDefault="00285606" w:rsidP="00285606">
      <w:pPr>
        <w:ind w:firstLine="780"/>
        <w:jc w:val="both"/>
      </w:pPr>
      <w:r w:rsidRPr="00285606">
        <w:rPr>
          <w:rStyle w:val="21"/>
        </w:rPr>
        <w:t xml:space="preserve">Рейтинг общественных территорий составляется путем присвоения каждой территории порядкового номера в порядке убывания (от наибольшего к </w:t>
      </w:r>
      <w:proofErr w:type="gramStart"/>
      <w:r w:rsidRPr="00285606">
        <w:rPr>
          <w:rStyle w:val="21"/>
        </w:rPr>
        <w:t>наименьшему</w:t>
      </w:r>
      <w:proofErr w:type="gramEnd"/>
      <w:r w:rsidRPr="00285606">
        <w:rPr>
          <w:rStyle w:val="21"/>
        </w:rPr>
        <w:t>) итоговых значений полученных голосов за данную общественную территорию.</w:t>
      </w:r>
    </w:p>
    <w:p w:rsidR="00285606" w:rsidRPr="00285606" w:rsidRDefault="00285606" w:rsidP="00285606">
      <w:pPr>
        <w:ind w:firstLine="780"/>
        <w:jc w:val="both"/>
      </w:pPr>
      <w:r w:rsidRPr="00285606">
        <w:rPr>
          <w:rStyle w:val="21"/>
        </w:rPr>
        <w:t>При равенстве количества голосов, отданных участниками голосования на данном счетном участке за две или несколько общественных территорий, соответствующие территории включаются в рейтинг последовательно в алфавитном порядке.</w:t>
      </w:r>
    </w:p>
    <w:p w:rsidR="00285606" w:rsidRPr="00285606" w:rsidRDefault="00285606" w:rsidP="00285606">
      <w:pPr>
        <w:ind w:firstLine="780"/>
        <w:jc w:val="both"/>
      </w:pPr>
      <w:r w:rsidRPr="00285606">
        <w:rPr>
          <w:rStyle w:val="21"/>
        </w:rPr>
        <w:t>Итоги голосования оформляются итоговым протоколом территориальной счетной комиссии по форме, согласно Приложению № 1 к настоящему Положению.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162"/>
        </w:tabs>
        <w:ind w:firstLine="780"/>
        <w:jc w:val="both"/>
      </w:pPr>
      <w:r w:rsidRPr="00285606">
        <w:rPr>
          <w:rStyle w:val="21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285606" w:rsidRPr="00285606" w:rsidRDefault="00285606" w:rsidP="00285606">
      <w:pPr>
        <w:ind w:firstLine="780"/>
        <w:jc w:val="both"/>
      </w:pPr>
      <w:r w:rsidRPr="00285606">
        <w:rPr>
          <w:rStyle w:val="21"/>
        </w:rPr>
        <w:t>Итоговый протокол территориальной счетной комиссии, а также списки, согласия на обработку персональных данных участников голосования, пачки, мешки или коробки с использованными бюллетенями передаются председателем территориальной счетной комиссии в общественную комиссию не позднее чем через два дня после дня голосования.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211"/>
        </w:tabs>
        <w:ind w:firstLine="760"/>
        <w:jc w:val="both"/>
      </w:pPr>
      <w:r w:rsidRPr="00285606">
        <w:rPr>
          <w:rStyle w:val="21"/>
        </w:rPr>
        <w:t>Подведение итогов голосования по отбору общественных территорий производится общественной комиссией на основании протоколов территориальных счетных комиссий не позднее, чем через два дня со дня проведения голосования.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>Подведение итогов голосования осуществляется путем суммирования голосов, поданных участниками голосования на каждом счетном участке за каждую общественную территорию, вынесенную на голосование.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 xml:space="preserve">После суммирования голосов общественной комиссией составляется рейтинг общественных территорий путем присвоения каждой территории порядкового номера в порядке убывания (от наибольшего к </w:t>
      </w:r>
      <w:proofErr w:type="gramStart"/>
      <w:r w:rsidRPr="00285606">
        <w:rPr>
          <w:rStyle w:val="21"/>
        </w:rPr>
        <w:t>наименьшему</w:t>
      </w:r>
      <w:proofErr w:type="gramEnd"/>
      <w:r w:rsidRPr="00285606">
        <w:rPr>
          <w:rStyle w:val="21"/>
        </w:rPr>
        <w:t>) итоговых значений полученных голосов за данную общественную территорию.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 xml:space="preserve">При равенстве количества голосов, отданных участниками голосования за две или несколько общественных территорий, меньший порядковый номер в рейтинге присваивается общественной территории, </w:t>
      </w:r>
      <w:proofErr w:type="gramStart"/>
      <w:r w:rsidRPr="00285606">
        <w:rPr>
          <w:rStyle w:val="21"/>
        </w:rPr>
        <w:t>заявка</w:t>
      </w:r>
      <w:proofErr w:type="gramEnd"/>
      <w:r w:rsidRPr="00285606">
        <w:rPr>
          <w:rStyle w:val="21"/>
        </w:rPr>
        <w:t xml:space="preserve"> на включение которой в отбор поступила позже.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>Итоги голосования по отбору общественных территорий оформляются в виде протокола общественной комиссии по форме, согласно Приложению № 2 к настоящему Положению.</w:t>
      </w:r>
    </w:p>
    <w:p w:rsidR="00285606" w:rsidRPr="00285606" w:rsidRDefault="00285606" w:rsidP="00285606">
      <w:pPr>
        <w:ind w:firstLine="760"/>
        <w:jc w:val="both"/>
      </w:pPr>
      <w:r w:rsidRPr="00285606">
        <w:rPr>
          <w:rStyle w:val="21"/>
        </w:rPr>
        <w:t>Итоговый протокол общественной комиссии подписывается всеми присутствующими на заседании членами общественной комиссии.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211"/>
        </w:tabs>
        <w:ind w:firstLine="760"/>
        <w:jc w:val="both"/>
      </w:pPr>
      <w:r w:rsidRPr="00285606">
        <w:rPr>
          <w:rStyle w:val="21"/>
        </w:rPr>
        <w:t xml:space="preserve">Протокол общественной комиссии об итогах голосования по отбору </w:t>
      </w:r>
      <w:r w:rsidRPr="00285606">
        <w:rPr>
          <w:rStyle w:val="21"/>
        </w:rPr>
        <w:lastRenderedPageBreak/>
        <w:t xml:space="preserve">общественных территорий передается главе администрации городского </w:t>
      </w:r>
      <w:proofErr w:type="gramStart"/>
      <w:r w:rsidRPr="00285606">
        <w:rPr>
          <w:rStyle w:val="21"/>
        </w:rPr>
        <w:t>округа</w:t>
      </w:r>
      <w:proofErr w:type="gramEnd"/>
      <w:r w:rsidRPr="00285606">
        <w:rPr>
          <w:rStyle w:val="21"/>
        </w:rPr>
        <w:t xml:space="preserve"> ЗАТО Свободный не позднее рабочего дня, следующего за днем оформления протокола.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211"/>
        </w:tabs>
        <w:ind w:firstLine="760"/>
        <w:jc w:val="both"/>
      </w:pPr>
      <w:r w:rsidRPr="00285606">
        <w:rPr>
          <w:rStyle w:val="21"/>
        </w:rPr>
        <w:t xml:space="preserve">Сведения об итогах голосования по отбору общественных территорий подлежат официальному опубликованию в газете «Свободные вести» и размещению на официальном сайте администрации городского </w:t>
      </w:r>
      <w:proofErr w:type="gramStart"/>
      <w:r w:rsidRPr="00285606">
        <w:rPr>
          <w:rStyle w:val="21"/>
        </w:rPr>
        <w:t>округа</w:t>
      </w:r>
      <w:proofErr w:type="gramEnd"/>
      <w:r w:rsidRPr="00285606">
        <w:rPr>
          <w:rStyle w:val="21"/>
        </w:rPr>
        <w:t xml:space="preserve"> ЗАТО Свободный в информационно-телекоммуникационной сети «Интернет» не позднее чем через десять дней со дня подведения итогов голосования.</w:t>
      </w:r>
    </w:p>
    <w:p w:rsidR="00285606" w:rsidRPr="00285606" w:rsidRDefault="00285606" w:rsidP="00285606">
      <w:pPr>
        <w:widowControl w:val="0"/>
        <w:numPr>
          <w:ilvl w:val="0"/>
          <w:numId w:val="1"/>
        </w:numPr>
        <w:tabs>
          <w:tab w:val="left" w:pos="1211"/>
        </w:tabs>
        <w:ind w:firstLine="760"/>
        <w:jc w:val="both"/>
        <w:rPr>
          <w:rStyle w:val="21"/>
        </w:rPr>
      </w:pPr>
      <w:r w:rsidRPr="00285606">
        <w:rPr>
          <w:rStyle w:val="21"/>
        </w:rPr>
        <w:t xml:space="preserve">Списки, согласия на обработку персональных данных участников голосования, использованные бюллетени, протоколы территориальных счетных комиссий, протокол общественной комиссии об итогах голосования по отбору общественных территорий хранятся в администрации городского </w:t>
      </w:r>
      <w:proofErr w:type="gramStart"/>
      <w:r w:rsidRPr="00285606">
        <w:rPr>
          <w:rStyle w:val="21"/>
        </w:rPr>
        <w:t>округа</w:t>
      </w:r>
      <w:proofErr w:type="gramEnd"/>
      <w:r w:rsidRPr="00285606">
        <w:rPr>
          <w:rStyle w:val="21"/>
        </w:rPr>
        <w:t xml:space="preserve"> ЗАТО Свободный в течение одного года со дня подведения итогов голосования с соблюдением требований Федерального закона от 27 июля 2006 года № 152-ФЗ «О персональных данных», а затем уничтожаются.</w:t>
      </w:r>
    </w:p>
    <w:p w:rsidR="00285606" w:rsidRPr="00285606" w:rsidRDefault="00285606" w:rsidP="00285606">
      <w:pPr>
        <w:widowControl w:val="0"/>
        <w:tabs>
          <w:tab w:val="left" w:pos="1211"/>
        </w:tabs>
        <w:jc w:val="both"/>
        <w:rPr>
          <w:rStyle w:val="21"/>
        </w:rPr>
      </w:pPr>
    </w:p>
    <w:p w:rsidR="00285606" w:rsidRPr="00285606" w:rsidRDefault="00285606" w:rsidP="00285606">
      <w:pPr>
        <w:widowControl w:val="0"/>
        <w:tabs>
          <w:tab w:val="left" w:pos="1211"/>
        </w:tabs>
        <w:jc w:val="both"/>
        <w:rPr>
          <w:rStyle w:val="21"/>
        </w:rPr>
      </w:pPr>
    </w:p>
    <w:p w:rsidR="00285606" w:rsidRPr="00285606" w:rsidRDefault="00285606" w:rsidP="00285606"/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ind w:left="5670"/>
        <w:outlineLvl w:val="0"/>
      </w:pPr>
      <w:r w:rsidRPr="00285606">
        <w:t>Приложение № 1</w:t>
      </w:r>
    </w:p>
    <w:p w:rsidR="00285606" w:rsidRPr="00285606" w:rsidRDefault="00285606" w:rsidP="00285606">
      <w:pPr>
        <w:autoSpaceDE w:val="0"/>
        <w:autoSpaceDN w:val="0"/>
        <w:adjustRightInd w:val="0"/>
        <w:ind w:left="5670"/>
        <w:outlineLvl w:val="0"/>
        <w:rPr>
          <w:sz w:val="22"/>
        </w:rPr>
      </w:pPr>
      <w:r w:rsidRPr="00285606">
        <w:t>к Положению</w:t>
      </w:r>
      <w:r w:rsidRPr="00285606">
        <w:rPr>
          <w:sz w:val="22"/>
        </w:rPr>
        <w:t xml:space="preserve"> </w:t>
      </w:r>
      <w:r w:rsidRPr="00285606">
        <w:rPr>
          <w:rStyle w:val="21"/>
          <w:szCs w:val="26"/>
        </w:rPr>
        <w:t>об организации и проведении голосования по отбору общественных территорий, подлежащих благоустройству в первоочередном порядке в 2018 году в рамках реализации муниципальной программы «Формирование современной городской среды на 2018-2020 годы»</w:t>
      </w: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left"/>
        <w:rPr>
          <w:rFonts w:ascii="Times New Roman" w:hAnsi="Times New Roman" w:cs="Times New Roman"/>
          <w:b w:val="0"/>
          <w:sz w:val="24"/>
        </w:rPr>
      </w:pPr>
      <w:r w:rsidRPr="00285606">
        <w:rPr>
          <w:rFonts w:ascii="Times New Roman" w:hAnsi="Times New Roman" w:cs="Times New Roman"/>
          <w:b w:val="0"/>
          <w:sz w:val="24"/>
        </w:rPr>
        <w:t>форма</w:t>
      </w: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pStyle w:val="60"/>
        <w:shd w:val="clear" w:color="auto" w:fill="auto"/>
        <w:spacing w:before="0"/>
        <w:ind w:right="40"/>
        <w:rPr>
          <w:rFonts w:ascii="Times New Roman" w:hAnsi="Times New Roman" w:cs="Times New Roman"/>
        </w:rPr>
      </w:pPr>
      <w:r w:rsidRPr="00285606">
        <w:rPr>
          <w:rFonts w:ascii="Times New Roman" w:hAnsi="Times New Roman" w:cs="Times New Roman"/>
        </w:rPr>
        <w:t>ИТОГОВЫЙ ПРОТОКОЛ</w:t>
      </w:r>
    </w:p>
    <w:p w:rsidR="00285606" w:rsidRPr="00285606" w:rsidRDefault="00285606" w:rsidP="00285606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285606">
        <w:rPr>
          <w:rFonts w:ascii="Times New Roman" w:hAnsi="Times New Roman"/>
          <w:i w:val="0"/>
          <w:sz w:val="24"/>
        </w:rPr>
        <w:t xml:space="preserve">территориальной счетной комиссии об итогах голосования </w:t>
      </w:r>
      <w:r w:rsidRPr="00285606">
        <w:rPr>
          <w:rFonts w:ascii="Times New Roman" w:hAnsi="Times New Roman"/>
          <w:i w:val="0"/>
          <w:sz w:val="26"/>
          <w:szCs w:val="26"/>
        </w:rPr>
        <w:t xml:space="preserve">по отбору общественных территорий, подлежащих в первоочередном порядке благоустройству в 2018 году в соответствии с муниципальной программой «Формирование современной городской среды на 2018-2022 годы» в городском </w:t>
      </w:r>
      <w:proofErr w:type="gramStart"/>
      <w:r w:rsidRPr="00285606">
        <w:rPr>
          <w:rFonts w:ascii="Times New Roman" w:hAnsi="Times New Roman"/>
          <w:i w:val="0"/>
          <w:sz w:val="26"/>
          <w:szCs w:val="26"/>
        </w:rPr>
        <w:t>округе</w:t>
      </w:r>
      <w:proofErr w:type="gramEnd"/>
      <w:r w:rsidRPr="00285606">
        <w:rPr>
          <w:rFonts w:ascii="Times New Roman" w:hAnsi="Times New Roman"/>
          <w:i w:val="0"/>
          <w:sz w:val="26"/>
          <w:szCs w:val="26"/>
        </w:rPr>
        <w:t xml:space="preserve"> ЗАТО Свободный</w:t>
      </w: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260"/>
      </w:tblGrid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Число граждан, внесенных в список </w:t>
            </w:r>
            <w:r w:rsidRPr="00285606">
              <w:rPr>
                <w:rFonts w:ascii="Times New Roman" w:hAnsi="Times New Roman" w:cs="Times New Roman"/>
                <w:b w:val="0"/>
                <w:sz w:val="24"/>
              </w:rPr>
              <w:t>голосования на момент окончания голосования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цифрами прописью</w:t>
            </w: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50"/>
              <w:shd w:val="clear" w:color="auto" w:fill="auto"/>
              <w:spacing w:after="0" w:line="278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sz w:val="24"/>
                <w:szCs w:val="24"/>
              </w:rPr>
              <w:t xml:space="preserve">Число бюллетеней, выданных </w:t>
            </w:r>
            <w:proofErr w:type="gramStart"/>
            <w:r w:rsidRPr="00285606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285606">
              <w:rPr>
                <w:rFonts w:ascii="Times New Roman" w:hAnsi="Times New Roman" w:cs="Times New Roman"/>
                <w:sz w:val="24"/>
                <w:szCs w:val="24"/>
              </w:rPr>
              <w:t xml:space="preserve"> счетной</w:t>
            </w:r>
          </w:p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3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комиссией гражданам в день голосования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цифрами прописью</w:t>
            </w: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50"/>
              <w:shd w:val="clear" w:color="auto" w:fill="auto"/>
              <w:spacing w:after="0" w:line="278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sz w:val="24"/>
                <w:szCs w:val="24"/>
              </w:rPr>
              <w:t>Число бюллетеней, извлеченных членами  территориальной счетной комиссии из ящика для голосования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цифрами прописью</w:t>
            </w: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50"/>
              <w:shd w:val="clear" w:color="auto" w:fill="auto"/>
              <w:spacing w:after="0" w:line="278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цифрами прописью</w:t>
            </w: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50"/>
              <w:shd w:val="clear" w:color="auto" w:fill="auto"/>
              <w:spacing w:after="0" w:line="278" w:lineRule="exact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цифрами прописью</w:t>
            </w: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Рейтинг общественных территорий, в соответствии с общим числом голосов, поданных участниками голосования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цифрами прописью</w:t>
            </w: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6.1.</w:t>
            </w: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Наименование общественной территории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цифрами прописью</w:t>
            </w: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6.2.</w:t>
            </w: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Наименование общественной территории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цифрами прописью</w:t>
            </w: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6.3.</w:t>
            </w: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Наименование общественной территории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цифрами прописью</w:t>
            </w: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  <w:r w:rsidRPr="00285606">
        <w:rPr>
          <w:rFonts w:ascii="Times New Roman" w:hAnsi="Times New Roman" w:cs="Times New Roman"/>
          <w:b w:val="0"/>
          <w:sz w:val="24"/>
        </w:rPr>
        <w:t>Председатель счетной комиссии</w:t>
      </w: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  <w:r w:rsidRPr="00285606">
        <w:rPr>
          <w:rFonts w:ascii="Times New Roman" w:hAnsi="Times New Roman" w:cs="Times New Roman"/>
          <w:b w:val="0"/>
          <w:sz w:val="24"/>
        </w:rPr>
        <w:t>Секретарь счетной комиссии</w:t>
      </w: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  <w:r w:rsidRPr="00285606">
        <w:rPr>
          <w:rFonts w:ascii="Times New Roman" w:hAnsi="Times New Roman" w:cs="Times New Roman"/>
          <w:b w:val="0"/>
          <w:sz w:val="24"/>
        </w:rPr>
        <w:t>Члены счетной комиссии</w:t>
      </w: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  <w:r w:rsidRPr="00285606">
        <w:rPr>
          <w:rFonts w:ascii="Times New Roman" w:hAnsi="Times New Roman" w:cs="Times New Roman"/>
          <w:b w:val="0"/>
          <w:sz w:val="24"/>
        </w:rPr>
        <w:t>Протокол подписан     «__» _____________ 20__ г.</w:t>
      </w: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</w:p>
    <w:p w:rsidR="00285606" w:rsidRPr="00285606" w:rsidRDefault="00285606" w:rsidP="00285606">
      <w:pPr>
        <w:autoSpaceDE w:val="0"/>
        <w:autoSpaceDN w:val="0"/>
        <w:adjustRightInd w:val="0"/>
        <w:ind w:left="5670"/>
        <w:outlineLvl w:val="0"/>
      </w:pPr>
      <w:r w:rsidRPr="00285606">
        <w:lastRenderedPageBreak/>
        <w:t>Приложение № 2</w:t>
      </w:r>
    </w:p>
    <w:p w:rsidR="00285606" w:rsidRPr="00285606" w:rsidRDefault="00285606" w:rsidP="00285606">
      <w:pPr>
        <w:autoSpaceDE w:val="0"/>
        <w:autoSpaceDN w:val="0"/>
        <w:adjustRightInd w:val="0"/>
        <w:ind w:left="5670"/>
        <w:outlineLvl w:val="0"/>
        <w:rPr>
          <w:sz w:val="22"/>
        </w:rPr>
      </w:pPr>
      <w:r w:rsidRPr="00285606">
        <w:t>к Положению</w:t>
      </w:r>
      <w:r w:rsidRPr="00285606">
        <w:rPr>
          <w:sz w:val="22"/>
        </w:rPr>
        <w:t xml:space="preserve"> </w:t>
      </w:r>
      <w:r w:rsidRPr="00285606">
        <w:rPr>
          <w:rStyle w:val="21"/>
          <w:szCs w:val="26"/>
        </w:rPr>
        <w:t>об организации и проведении голосования по отбору общественных территорий, подлежащих благоустройству в первоочередном порядке в 2018 году в рамках реализации муниципальной программы «Формирование современной городской среды на 2018-2020 годы»</w:t>
      </w: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left"/>
        <w:rPr>
          <w:rFonts w:ascii="Times New Roman" w:hAnsi="Times New Roman" w:cs="Times New Roman"/>
          <w:b w:val="0"/>
          <w:sz w:val="24"/>
        </w:rPr>
      </w:pPr>
      <w:r w:rsidRPr="00285606">
        <w:rPr>
          <w:rFonts w:ascii="Times New Roman" w:hAnsi="Times New Roman" w:cs="Times New Roman"/>
          <w:b w:val="0"/>
          <w:sz w:val="24"/>
        </w:rPr>
        <w:t>форма</w:t>
      </w: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pStyle w:val="60"/>
        <w:shd w:val="clear" w:color="auto" w:fill="auto"/>
        <w:spacing w:before="0"/>
        <w:ind w:right="40"/>
        <w:rPr>
          <w:rFonts w:ascii="Times New Roman" w:hAnsi="Times New Roman" w:cs="Times New Roman"/>
        </w:rPr>
      </w:pPr>
      <w:r w:rsidRPr="00285606">
        <w:rPr>
          <w:rFonts w:ascii="Times New Roman" w:hAnsi="Times New Roman" w:cs="Times New Roman"/>
        </w:rPr>
        <w:t>ИТОГОВЫЙ ПРОТОКОЛ</w:t>
      </w:r>
    </w:p>
    <w:p w:rsidR="00285606" w:rsidRPr="00285606" w:rsidRDefault="00285606" w:rsidP="00285606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285606">
        <w:rPr>
          <w:rFonts w:ascii="Times New Roman" w:hAnsi="Times New Roman"/>
          <w:i w:val="0"/>
          <w:sz w:val="24"/>
        </w:rPr>
        <w:t>общественной комиссии</w:t>
      </w:r>
      <w:r w:rsidRPr="00285606">
        <w:rPr>
          <w:rFonts w:ascii="Times New Roman" w:hAnsi="Times New Roman"/>
          <w:sz w:val="24"/>
        </w:rPr>
        <w:t xml:space="preserve"> </w:t>
      </w:r>
      <w:r w:rsidRPr="00285606">
        <w:rPr>
          <w:rFonts w:ascii="Times New Roman" w:hAnsi="Times New Roman"/>
          <w:i w:val="0"/>
          <w:sz w:val="24"/>
        </w:rPr>
        <w:t xml:space="preserve">об итогах голосования </w:t>
      </w:r>
      <w:r w:rsidRPr="00285606">
        <w:rPr>
          <w:rFonts w:ascii="Times New Roman" w:hAnsi="Times New Roman"/>
          <w:i w:val="0"/>
          <w:sz w:val="26"/>
          <w:szCs w:val="26"/>
        </w:rPr>
        <w:t xml:space="preserve">по отбору общественных территорий, подлежащих в первоочередном порядке благоустройству в 2018 году в соответствии с муниципальной программой «Формирование современной городской среды на 2018-2022 годы» в городском </w:t>
      </w:r>
      <w:proofErr w:type="gramStart"/>
      <w:r w:rsidRPr="00285606">
        <w:rPr>
          <w:rFonts w:ascii="Times New Roman" w:hAnsi="Times New Roman"/>
          <w:i w:val="0"/>
          <w:sz w:val="26"/>
          <w:szCs w:val="26"/>
        </w:rPr>
        <w:t>округе</w:t>
      </w:r>
      <w:proofErr w:type="gramEnd"/>
      <w:r w:rsidRPr="00285606">
        <w:rPr>
          <w:rFonts w:ascii="Times New Roman" w:hAnsi="Times New Roman"/>
          <w:i w:val="0"/>
          <w:sz w:val="26"/>
          <w:szCs w:val="26"/>
        </w:rPr>
        <w:t xml:space="preserve"> ЗАТО Свободный</w:t>
      </w: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260"/>
      </w:tblGrid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Число граждан, внесенных в список </w:t>
            </w:r>
            <w:r w:rsidRPr="00285606">
              <w:rPr>
                <w:rFonts w:ascii="Times New Roman" w:hAnsi="Times New Roman" w:cs="Times New Roman"/>
                <w:b w:val="0"/>
                <w:sz w:val="24"/>
              </w:rPr>
              <w:t xml:space="preserve">голосования на момент окончания голосования </w:t>
            </w:r>
            <w:r w:rsidRPr="00285606">
              <w:rPr>
                <w:rStyle w:val="5Exact"/>
                <w:rFonts w:eastAsiaTheme="minorHAnsi"/>
                <w:b w:val="0"/>
                <w:sz w:val="24"/>
              </w:rPr>
              <w:t>(заполняется на основании данных территориальной счетной комиссии)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цифрами прописью</w:t>
            </w: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50"/>
              <w:shd w:val="clear" w:color="auto" w:fill="auto"/>
              <w:spacing w:after="0" w:line="278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sz w:val="24"/>
                <w:szCs w:val="24"/>
              </w:rPr>
              <w:t xml:space="preserve">Число бюллетеней, выданных </w:t>
            </w:r>
            <w:proofErr w:type="gramStart"/>
            <w:r w:rsidRPr="00285606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285606">
              <w:rPr>
                <w:rFonts w:ascii="Times New Roman" w:hAnsi="Times New Roman" w:cs="Times New Roman"/>
                <w:sz w:val="24"/>
                <w:szCs w:val="24"/>
              </w:rPr>
              <w:t xml:space="preserve"> счетной</w:t>
            </w:r>
          </w:p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3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комиссией гражданам в день голосования </w:t>
            </w:r>
            <w:r w:rsidRPr="00285606">
              <w:rPr>
                <w:rStyle w:val="5Exact"/>
                <w:rFonts w:eastAsiaTheme="minorHAnsi"/>
                <w:b w:val="0"/>
                <w:sz w:val="24"/>
              </w:rPr>
              <w:t>(заполняется на основании данных территориальной счетной комиссии)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цифрами прописью</w:t>
            </w: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50"/>
              <w:shd w:val="clear" w:color="auto" w:fill="auto"/>
              <w:spacing w:after="0" w:line="278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sz w:val="24"/>
                <w:szCs w:val="24"/>
              </w:rPr>
              <w:t xml:space="preserve">Число бюллетеней, извлеченных членами  территориальной счетной комиссии из ящика для голосования </w:t>
            </w:r>
            <w:r w:rsidRPr="00285606">
              <w:rPr>
                <w:rStyle w:val="5Exact"/>
                <w:rFonts w:eastAsiaTheme="minorHAnsi"/>
                <w:sz w:val="24"/>
              </w:rPr>
              <w:t>(заполняется на основании данных территориальной счетной комиссии)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цифрами прописью</w:t>
            </w: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50"/>
              <w:shd w:val="clear" w:color="auto" w:fill="auto"/>
              <w:spacing w:after="0" w:line="278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sz w:val="24"/>
                <w:szCs w:val="24"/>
              </w:rPr>
              <w:t xml:space="preserve">Число действительных бюллетеней </w:t>
            </w:r>
            <w:r w:rsidRPr="00285606">
              <w:rPr>
                <w:rStyle w:val="5Exact"/>
                <w:rFonts w:eastAsiaTheme="minorHAnsi"/>
                <w:sz w:val="24"/>
              </w:rPr>
              <w:t>(заполняется на основании данных территориальной счетной комиссии)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цифрами прописью</w:t>
            </w: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50"/>
              <w:shd w:val="clear" w:color="auto" w:fill="auto"/>
              <w:spacing w:after="0" w:line="278" w:lineRule="exact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sz w:val="24"/>
                <w:szCs w:val="24"/>
              </w:rPr>
              <w:t xml:space="preserve">Число недействительных бюллетеней  </w:t>
            </w:r>
            <w:r w:rsidRPr="00285606">
              <w:rPr>
                <w:rStyle w:val="5Exact"/>
                <w:rFonts w:eastAsiaTheme="minorHAnsi"/>
                <w:sz w:val="24"/>
              </w:rPr>
              <w:t>(заполняется на основании данных территориальной счетной комиссии)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цифрами прописью</w:t>
            </w: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Рейтинг общественных территорий, в соответствии с общим числом голосов, поданных участниками голосования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цифрами прописью</w:t>
            </w: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6.1.</w:t>
            </w: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Наименование общественной территории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цифрами прописью</w:t>
            </w: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6.2.</w:t>
            </w: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Наименование общественной территории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цифрами прописью</w:t>
            </w: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6.3.</w:t>
            </w: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Наименование общественной территории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цифрами прописью</w:t>
            </w: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5606" w:rsidRPr="00285606" w:rsidTr="000D6537">
        <w:tc>
          <w:tcPr>
            <w:tcW w:w="7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lef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</w:t>
            </w:r>
          </w:p>
        </w:tc>
        <w:tc>
          <w:tcPr>
            <w:tcW w:w="326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rPr>
          <w:rFonts w:ascii="Times New Roman" w:hAnsi="Times New Roman" w:cs="Times New Roman"/>
          <w:b w:val="0"/>
          <w:sz w:val="24"/>
        </w:rPr>
      </w:pP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  <w:r w:rsidRPr="00285606">
        <w:rPr>
          <w:rFonts w:ascii="Times New Roman" w:hAnsi="Times New Roman" w:cs="Times New Roman"/>
          <w:b w:val="0"/>
          <w:sz w:val="24"/>
        </w:rPr>
        <w:t>Председатель общественной комиссии</w:t>
      </w: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  <w:r w:rsidRPr="00285606">
        <w:rPr>
          <w:rFonts w:ascii="Times New Roman" w:hAnsi="Times New Roman" w:cs="Times New Roman"/>
          <w:b w:val="0"/>
          <w:sz w:val="24"/>
        </w:rPr>
        <w:t>Секретарь общественной комиссии</w:t>
      </w: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  <w:r w:rsidRPr="00285606">
        <w:rPr>
          <w:rFonts w:ascii="Times New Roman" w:hAnsi="Times New Roman" w:cs="Times New Roman"/>
          <w:b w:val="0"/>
          <w:sz w:val="24"/>
        </w:rPr>
        <w:t>Члены общественной комиссии</w:t>
      </w: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both"/>
        <w:rPr>
          <w:rFonts w:ascii="Times New Roman" w:hAnsi="Times New Roman" w:cs="Times New Roman"/>
          <w:b w:val="0"/>
          <w:sz w:val="24"/>
        </w:rPr>
      </w:pPr>
      <w:r w:rsidRPr="00285606">
        <w:rPr>
          <w:rFonts w:ascii="Times New Roman" w:hAnsi="Times New Roman" w:cs="Times New Roman"/>
          <w:b w:val="0"/>
          <w:sz w:val="24"/>
        </w:rPr>
        <w:t>Протокол подписан     «__» _____________ 20__ г.</w:t>
      </w: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rPr>
          <w:rFonts w:ascii="Times New Roman" w:hAnsi="Times New Roman" w:cs="Times New Roman"/>
          <w:b w:val="0"/>
          <w:sz w:val="24"/>
        </w:rPr>
      </w:pPr>
    </w:p>
    <w:p w:rsidR="00285606" w:rsidRPr="00285606" w:rsidRDefault="00285606" w:rsidP="00285606">
      <w:pPr>
        <w:autoSpaceDE w:val="0"/>
        <w:autoSpaceDN w:val="0"/>
        <w:adjustRightInd w:val="0"/>
        <w:ind w:left="5670"/>
        <w:outlineLvl w:val="0"/>
      </w:pPr>
      <w:r w:rsidRPr="00285606">
        <w:lastRenderedPageBreak/>
        <w:t>Приложение № 3</w:t>
      </w:r>
    </w:p>
    <w:p w:rsidR="00285606" w:rsidRPr="00285606" w:rsidRDefault="00285606" w:rsidP="00285606">
      <w:pPr>
        <w:autoSpaceDE w:val="0"/>
        <w:autoSpaceDN w:val="0"/>
        <w:adjustRightInd w:val="0"/>
        <w:ind w:left="5670"/>
        <w:outlineLvl w:val="0"/>
        <w:rPr>
          <w:sz w:val="22"/>
        </w:rPr>
      </w:pPr>
      <w:r w:rsidRPr="00285606">
        <w:t>к Положению</w:t>
      </w:r>
      <w:r w:rsidRPr="00285606">
        <w:rPr>
          <w:sz w:val="22"/>
        </w:rPr>
        <w:t xml:space="preserve"> </w:t>
      </w:r>
      <w:r w:rsidRPr="00285606">
        <w:rPr>
          <w:rStyle w:val="21"/>
          <w:szCs w:val="26"/>
        </w:rPr>
        <w:t>об организации и проведении голосования по отбору общественных территорий, подлежащих благоустройству в первоочередном порядке в 2018 году в рамках реализации муниципальной программы «Формирование современной городской среды на 2018-2020 годы»</w:t>
      </w: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autoSpaceDE w:val="0"/>
        <w:autoSpaceDN w:val="0"/>
        <w:adjustRightInd w:val="0"/>
        <w:outlineLvl w:val="0"/>
      </w:pPr>
    </w:p>
    <w:p w:rsidR="00285606" w:rsidRPr="00285606" w:rsidRDefault="00285606" w:rsidP="00285606">
      <w:pPr>
        <w:pStyle w:val="60"/>
        <w:shd w:val="clear" w:color="auto" w:fill="auto"/>
        <w:spacing w:before="0"/>
        <w:ind w:right="40"/>
        <w:rPr>
          <w:rFonts w:ascii="Times New Roman" w:hAnsi="Times New Roman" w:cs="Times New Roman"/>
        </w:rPr>
      </w:pPr>
      <w:r w:rsidRPr="00285606">
        <w:rPr>
          <w:rFonts w:ascii="Times New Roman" w:hAnsi="Times New Roman" w:cs="Times New Roman"/>
        </w:rPr>
        <w:t>БЮЛЛЕТЕНЬ</w:t>
      </w:r>
    </w:p>
    <w:p w:rsidR="00285606" w:rsidRPr="00285606" w:rsidRDefault="00285606" w:rsidP="00285606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285606">
        <w:rPr>
          <w:rFonts w:ascii="Times New Roman" w:hAnsi="Times New Roman"/>
          <w:i w:val="0"/>
          <w:sz w:val="24"/>
        </w:rPr>
        <w:t xml:space="preserve">для голосования </w:t>
      </w:r>
      <w:r w:rsidRPr="00285606">
        <w:rPr>
          <w:rFonts w:ascii="Times New Roman" w:hAnsi="Times New Roman"/>
          <w:i w:val="0"/>
          <w:sz w:val="26"/>
          <w:szCs w:val="26"/>
        </w:rPr>
        <w:t xml:space="preserve">по отбору общественных территорий, подлежащих в первоочередном порядке благоустройству в 2018 году в соответствии с муниципальной программой «Формирование современной городской среды на 2018-2022 годы» в городском </w:t>
      </w:r>
      <w:proofErr w:type="gramStart"/>
      <w:r w:rsidRPr="00285606">
        <w:rPr>
          <w:rFonts w:ascii="Times New Roman" w:hAnsi="Times New Roman"/>
          <w:i w:val="0"/>
          <w:sz w:val="26"/>
          <w:szCs w:val="26"/>
        </w:rPr>
        <w:t>округе</w:t>
      </w:r>
      <w:proofErr w:type="gramEnd"/>
      <w:r w:rsidRPr="00285606">
        <w:rPr>
          <w:rFonts w:ascii="Times New Roman" w:hAnsi="Times New Roman"/>
          <w:i w:val="0"/>
          <w:sz w:val="26"/>
          <w:szCs w:val="26"/>
        </w:rPr>
        <w:t xml:space="preserve"> ЗАТО Свободный</w:t>
      </w: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rPr>
          <w:rFonts w:ascii="Times New Roman" w:hAnsi="Times New Roman" w:cs="Times New Roman"/>
          <w:b w:val="0"/>
          <w:sz w:val="24"/>
        </w:rPr>
      </w:pP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left"/>
        <w:rPr>
          <w:rFonts w:ascii="Times New Roman" w:hAnsi="Times New Roman" w:cs="Times New Roman"/>
          <w:b w:val="0"/>
          <w:sz w:val="24"/>
        </w:rPr>
      </w:pPr>
      <w:r w:rsidRPr="00285606">
        <w:rPr>
          <w:rFonts w:ascii="Times New Roman" w:hAnsi="Times New Roman" w:cs="Times New Roman"/>
          <w:b w:val="0"/>
          <w:sz w:val="24"/>
        </w:rPr>
        <w:t>форма</w:t>
      </w: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jc w:val="right"/>
        <w:rPr>
          <w:rFonts w:ascii="Times New Roman" w:hAnsi="Times New Roman" w:cs="Times New Roman"/>
          <w:b w:val="0"/>
          <w:sz w:val="24"/>
        </w:rPr>
      </w:pPr>
      <w:r w:rsidRPr="00285606">
        <w:rPr>
          <w:rFonts w:ascii="Times New Roman" w:hAnsi="Times New Roman" w:cs="Times New Roman"/>
        </w:rPr>
        <w:t>Подписи двух членов территориальной счетной</w:t>
      </w:r>
    </w:p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rPr>
          <w:rFonts w:ascii="Times New Roman" w:hAnsi="Times New Roman" w:cs="Times New Roman"/>
          <w:b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111"/>
        <w:gridCol w:w="1418"/>
        <w:gridCol w:w="1099"/>
      </w:tblGrid>
      <w:tr w:rsidR="00285606" w:rsidRPr="00285606" w:rsidTr="000D6537">
        <w:tc>
          <w:tcPr>
            <w:tcW w:w="10138" w:type="dxa"/>
            <w:gridSpan w:val="4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 xml:space="preserve">РАЗЪЯСНЕНИЕ </w:t>
            </w:r>
          </w:p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порядка заполнения бюллетеня</w:t>
            </w:r>
          </w:p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285606" w:rsidRPr="00285606" w:rsidRDefault="00285606" w:rsidP="000D6537">
            <w:pPr>
              <w:spacing w:line="206" w:lineRule="exact"/>
              <w:ind w:firstLine="0"/>
              <w:jc w:val="center"/>
              <w:rPr>
                <w:b/>
                <w:sz w:val="32"/>
              </w:rPr>
            </w:pPr>
            <w:r w:rsidRPr="00285606">
              <w:rPr>
                <w:rStyle w:val="285pt"/>
                <w:sz w:val="20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территорий), но не более чем трех общественных территорий, в пользу которых сделан выбор.</w:t>
            </w:r>
          </w:p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rPr>
                <w:rStyle w:val="285pt"/>
                <w:rFonts w:eastAsiaTheme="minorHAnsi"/>
                <w:sz w:val="20"/>
              </w:rPr>
            </w:pPr>
            <w:r w:rsidRPr="00285606">
              <w:rPr>
                <w:rStyle w:val="285pt"/>
                <w:rFonts w:eastAsiaTheme="minorHAnsi"/>
                <w:sz w:val="20"/>
              </w:rPr>
              <w:t>Бюллетень, в котором знаки проставлены более чем в трех квадратах, либо бюллетень, в котором знаки (знак) не проставлены ни в одном из квадратов - считаются недействительными.</w:t>
            </w:r>
          </w:p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rPr>
                <w:rStyle w:val="285pt"/>
                <w:rFonts w:eastAsiaTheme="minorHAnsi"/>
                <w:sz w:val="20"/>
              </w:rPr>
            </w:pPr>
          </w:p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285606" w:rsidRPr="00285606" w:rsidTr="000D6537">
        <w:tc>
          <w:tcPr>
            <w:tcW w:w="35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Наименование общественной территории</w:t>
            </w:r>
          </w:p>
        </w:tc>
        <w:tc>
          <w:tcPr>
            <w:tcW w:w="4111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Краткое описание общественной территории</w:t>
            </w:r>
          </w:p>
        </w:tc>
        <w:tc>
          <w:tcPr>
            <w:tcW w:w="1418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99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285606" w:rsidRPr="00285606" w:rsidTr="000D6537">
        <w:tc>
          <w:tcPr>
            <w:tcW w:w="35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Наименование общественной территории</w:t>
            </w:r>
          </w:p>
        </w:tc>
        <w:tc>
          <w:tcPr>
            <w:tcW w:w="4111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Краткое описание общественной территории</w:t>
            </w:r>
          </w:p>
        </w:tc>
        <w:tc>
          <w:tcPr>
            <w:tcW w:w="1418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99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285606" w:rsidRPr="00285606" w:rsidTr="000D6537">
        <w:tc>
          <w:tcPr>
            <w:tcW w:w="3510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Наименование общественной территории</w:t>
            </w:r>
          </w:p>
        </w:tc>
        <w:tc>
          <w:tcPr>
            <w:tcW w:w="4111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285606">
              <w:rPr>
                <w:rFonts w:ascii="Times New Roman" w:hAnsi="Times New Roman" w:cs="Times New Roman"/>
                <w:b w:val="0"/>
                <w:sz w:val="24"/>
              </w:rPr>
              <w:t>Краткое описание общественной территории</w:t>
            </w:r>
          </w:p>
        </w:tc>
        <w:tc>
          <w:tcPr>
            <w:tcW w:w="1418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99" w:type="dxa"/>
          </w:tcPr>
          <w:p w:rsidR="00285606" w:rsidRPr="00285606" w:rsidRDefault="00285606" w:rsidP="000D6537">
            <w:pPr>
              <w:pStyle w:val="60"/>
              <w:shd w:val="clear" w:color="auto" w:fill="auto"/>
              <w:tabs>
                <w:tab w:val="left" w:leader="underscore" w:pos="7664"/>
              </w:tabs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285606" w:rsidRPr="00285606" w:rsidRDefault="00285606" w:rsidP="00285606">
      <w:pPr>
        <w:pStyle w:val="60"/>
        <w:shd w:val="clear" w:color="auto" w:fill="auto"/>
        <w:tabs>
          <w:tab w:val="left" w:leader="underscore" w:pos="7664"/>
        </w:tabs>
        <w:spacing w:before="0"/>
        <w:rPr>
          <w:rFonts w:ascii="Times New Roman" w:hAnsi="Times New Roman" w:cs="Times New Roman"/>
          <w:b w:val="0"/>
          <w:sz w:val="24"/>
        </w:rPr>
      </w:pPr>
    </w:p>
    <w:p w:rsidR="00CC22B5" w:rsidRPr="00285606" w:rsidRDefault="00CC22B5"/>
    <w:sectPr w:rsidR="00CC22B5" w:rsidRPr="00285606" w:rsidSect="00A22F83">
      <w:headerReference w:type="default" r:id="rId6"/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B9" w:rsidRDefault="00285606">
    <w:pPr>
      <w:pStyle w:val="a4"/>
    </w:pPr>
  </w:p>
  <w:p w:rsidR="00FF505A" w:rsidRDefault="0028560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1663"/>
    <w:multiLevelType w:val="multilevel"/>
    <w:tmpl w:val="082CE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76658E"/>
    <w:multiLevelType w:val="multilevel"/>
    <w:tmpl w:val="867A8F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BD08C9"/>
    <w:multiLevelType w:val="multilevel"/>
    <w:tmpl w:val="9128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C72390"/>
    <w:multiLevelType w:val="multilevel"/>
    <w:tmpl w:val="10D04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625118"/>
    <w:multiLevelType w:val="multilevel"/>
    <w:tmpl w:val="AF7A4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06"/>
    <w:rsid w:val="00285606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856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56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28560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285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85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rsid w:val="002856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6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285606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5606"/>
    <w:pPr>
      <w:widowControl w:val="0"/>
      <w:shd w:val="clear" w:color="auto" w:fill="FFFFFF"/>
      <w:spacing w:before="8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8560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5606"/>
    <w:pPr>
      <w:widowControl w:val="0"/>
      <w:shd w:val="clear" w:color="auto" w:fill="FFFFFF"/>
      <w:spacing w:after="84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Exact">
    <w:name w:val="Основной текст (5) Exact"/>
    <w:basedOn w:val="a0"/>
    <w:rsid w:val="00285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;Полужирный;Курсив"/>
    <w:basedOn w:val="a0"/>
    <w:rsid w:val="002856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856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56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28560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285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85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rsid w:val="002856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6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285606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5606"/>
    <w:pPr>
      <w:widowControl w:val="0"/>
      <w:shd w:val="clear" w:color="auto" w:fill="FFFFFF"/>
      <w:spacing w:before="8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8560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5606"/>
    <w:pPr>
      <w:widowControl w:val="0"/>
      <w:shd w:val="clear" w:color="auto" w:fill="FFFFFF"/>
      <w:spacing w:after="84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Exact">
    <w:name w:val="Основной текст (5) Exact"/>
    <w:basedOn w:val="a0"/>
    <w:rsid w:val="00285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;Полужирный;Курсив"/>
    <w:basedOn w:val="a0"/>
    <w:rsid w:val="002856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2018-01-19T12:01:00Z</dcterms:created>
  <dcterms:modified xsi:type="dcterms:W3CDTF">2018-01-19T12:02:00Z</dcterms:modified>
</cp:coreProperties>
</file>