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end"/>
        <w:rPr/>
      </w:pPr>
      <w:r>
        <w:rPr/>
        <w:t xml:space="preserve">Утверждено </w:t>
      </w:r>
    </w:p>
    <w:p>
      <w:pPr>
        <w:pStyle w:val="Normal"/>
        <w:bidi w:val="0"/>
        <w:jc w:val="end"/>
        <w:rPr/>
      </w:pPr>
      <w:r>
        <w:rPr/>
        <w:t xml:space="preserve"> </w:t>
      </w:r>
      <w:r>
        <w:rPr/>
        <w:t>решением Думы</w:t>
      </w:r>
    </w:p>
    <w:p>
      <w:pPr>
        <w:pStyle w:val="Normal"/>
        <w:bidi w:val="0"/>
        <w:jc w:val="end"/>
        <w:rPr/>
      </w:pPr>
      <w:r>
        <w:rPr/>
        <w:t>городского округа</w:t>
      </w:r>
    </w:p>
    <w:p>
      <w:pPr>
        <w:pStyle w:val="Normal"/>
        <w:bidi w:val="0"/>
        <w:jc w:val="end"/>
        <w:rPr/>
      </w:pPr>
      <w:r>
        <w:rPr/>
        <w:t>от 03.06.2010 года № 42/15</w:t>
      </w:r>
    </w:p>
    <w:p>
      <w:pPr>
        <w:pStyle w:val="ConsPlusTitle"/>
        <w:widowControl/>
        <w:jc w:val="end"/>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Normal"/>
        <w:bidi w:val="0"/>
        <w:jc w:val="center"/>
        <w:rPr>
          <w:b/>
          <w:b/>
        </w:rPr>
      </w:pPr>
      <w:r>
        <w:rPr>
          <w:b/>
        </w:rPr>
        <w:t xml:space="preserve">Положение </w:t>
      </w:r>
    </w:p>
    <w:p>
      <w:pPr>
        <w:pStyle w:val="Normal"/>
        <w:bidi w:val="0"/>
        <w:jc w:val="center"/>
        <w:rPr>
          <w:b/>
          <w:b/>
        </w:rPr>
      </w:pPr>
      <w:r>
        <w:rPr>
          <w:b/>
        </w:rPr>
        <w:t xml:space="preserve">«О порядке проведения антикоррупционной экспертизы нормативных правовых актов органов местного самоуправления городского округа ЗАТО Свободный и проектов нормативных правовых актов органов местного самоуправления </w:t>
      </w:r>
    </w:p>
    <w:p>
      <w:pPr>
        <w:pStyle w:val="Normal"/>
        <w:bidi w:val="0"/>
        <w:jc w:val="center"/>
        <w:rPr>
          <w:b/>
          <w:b/>
        </w:rPr>
      </w:pPr>
      <w:r>
        <w:rPr>
          <w:b/>
        </w:rPr>
        <w:t>городского округа ЗАТО Свободный»</w:t>
      </w:r>
    </w:p>
    <w:p>
      <w:pPr>
        <w:pStyle w:val="Normal"/>
        <w:bidi w:val="0"/>
        <w:jc w:val="center"/>
        <w:rPr>
          <w:sz w:val="20"/>
          <w:szCs w:val="20"/>
        </w:rPr>
      </w:pPr>
      <w:r>
        <w:rPr>
          <w:sz w:val="20"/>
          <w:szCs w:val="20"/>
        </w:rPr>
        <w:t>(в редакции решения Думы городского округа от 17.12.2019 года № 39/13, от 23.03.2021 года № 54/15)</w:t>
      </w:r>
    </w:p>
    <w:p>
      <w:pPr>
        <w:pStyle w:val="Normal"/>
        <w:numPr>
          <w:ilvl w:val="0"/>
          <w:numId w:val="0"/>
        </w:numPr>
        <w:bidi w:val="0"/>
        <w:ind w:start="0" w:hanging="0"/>
        <w:jc w:val="center"/>
        <w:outlineLvl w:val="1"/>
        <w:rPr>
          <w:b/>
          <w:b/>
        </w:rPr>
      </w:pPr>
      <w:r>
        <w:rPr>
          <w:b/>
        </w:rPr>
      </w:r>
    </w:p>
    <w:p>
      <w:pPr>
        <w:pStyle w:val="Normal"/>
        <w:numPr>
          <w:ilvl w:val="0"/>
          <w:numId w:val="0"/>
        </w:numPr>
        <w:bidi w:val="0"/>
        <w:ind w:start="0" w:hanging="0"/>
        <w:jc w:val="center"/>
        <w:outlineLvl w:val="1"/>
        <w:rPr>
          <w:b/>
          <w:b/>
        </w:rPr>
      </w:pPr>
      <w:r>
        <w:rPr>
          <w:b/>
        </w:rPr>
        <w:t>Глава 1. ОБЩИЕ ПОЛОЖЕНИЯ</w:t>
      </w:r>
    </w:p>
    <w:p>
      <w:pPr>
        <w:pStyle w:val="Normal"/>
        <w:numPr>
          <w:ilvl w:val="0"/>
          <w:numId w:val="0"/>
        </w:numPr>
        <w:bidi w:val="0"/>
        <w:ind w:start="0" w:hanging="0"/>
        <w:jc w:val="center"/>
        <w:outlineLvl w:val="1"/>
        <w:rPr>
          <w:b/>
          <w:b/>
        </w:rPr>
      </w:pPr>
      <w:r>
        <w:rPr>
          <w:b/>
        </w:rPr>
      </w:r>
    </w:p>
    <w:p>
      <w:pPr>
        <w:pStyle w:val="Normal"/>
        <w:bidi w:val="0"/>
        <w:ind w:firstLine="540"/>
        <w:jc w:val="start"/>
        <w:rPr/>
      </w:pPr>
      <w:r>
        <w:rPr/>
        <w:t>1.   Положение «О порядке проведения антикоррупционной экспертизы нормативных правовых актов органов местного самоуправления городского округа ЗАТО Свободный и проектов нормативных правовых актов органов местного самоуправления городского округа ЗАТО Свободный» (далее - Положение) разработано в соответствии с Федеральным законом от 25.12.2008 года № 273-ФЗ «О противодействии коррупции», Федеральным законом от 17.07.2009 года № 172-ФЗ «Об антикоррупционной экспертизе», Законом Свердловской области от 20.02.2009 года № 2-ОЗ «О противодействии коррупции в Свердловской области» и регулирует отношения, связанные с проведением антикоррупционной экспертизы нормативных правовых актов органов местного самоуправления городского округа ЗАТО Свободный и проектов нормативных правовых актов органов местного самоуправления городского округа ЗАТО Свободный (далее - нормативные правовые акты и их проекты).</w:t>
      </w:r>
    </w:p>
    <w:p>
      <w:pPr>
        <w:pStyle w:val="Normal"/>
        <w:bidi w:val="0"/>
        <w:jc w:val="start"/>
        <w:rPr>
          <w:sz w:val="20"/>
          <w:szCs w:val="20"/>
        </w:rPr>
      </w:pPr>
      <w:r>
        <w:rPr>
          <w:sz w:val="20"/>
          <w:szCs w:val="20"/>
        </w:rPr>
        <w:t>(пункт 1 в редакции решения Думы городского округа от 17.12.2019 года № 39/13)</w:t>
      </w:r>
    </w:p>
    <w:p>
      <w:pPr>
        <w:pStyle w:val="Normal"/>
        <w:bidi w:val="0"/>
        <w:ind w:firstLine="540"/>
        <w:jc w:val="start"/>
        <w:rPr/>
      </w:pPr>
      <w:r>
        <w:rPr/>
        <w:t>2.   Настоящее Положение определяет основные задачи, понятие и виды антикоррупционной экспертизы, порядок и правила ее проведения, порядок оформления заключения по результатам проведения антикоррупционной экспертизы.</w:t>
      </w:r>
    </w:p>
    <w:p>
      <w:pPr>
        <w:pStyle w:val="Normal"/>
        <w:bidi w:val="0"/>
        <w:ind w:firstLine="540"/>
        <w:jc w:val="start"/>
        <w:rPr/>
      </w:pPr>
      <w:r>
        <w:rPr/>
        <w:t>3.   Антикоррупционная экспертиза нормативных правовых актах и их проектов осуществляется согласно Правилам и Методики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26.02.2010 года № 96 «Об антикоррупционной экспертизе нормативных правовых актов и проектов нормативных правовых актов».</w:t>
      </w:r>
    </w:p>
    <w:p>
      <w:pPr>
        <w:pStyle w:val="Normal"/>
        <w:bidi w:val="0"/>
        <w:ind w:firstLine="540"/>
        <w:jc w:val="start"/>
        <w:rPr/>
      </w:pPr>
      <w:r>
        <w:rPr/>
        <w:t>4.   В порядке, предусмотренном настоящим Положением, осуществляется проведение антикоррупционной экспертизы нормативных правовых актов и их проектов, принимаемых Думой городского округа ЗАТО Свободный, главой городского округа ЗАТО Свободный; администрацией городского округа ЗАТО Свободный и контрольным органом городского округа ЗАТО Свободный.</w:t>
      </w:r>
    </w:p>
    <w:p>
      <w:pPr>
        <w:pStyle w:val="Normal"/>
        <w:bidi w:val="0"/>
        <w:ind w:firstLine="540"/>
        <w:jc w:val="start"/>
        <w:rPr/>
      </w:pPr>
      <w:r>
        <w:rPr/>
        <w:t>5.   В настоящем Положении применяются следующие понятия:</w:t>
      </w:r>
    </w:p>
    <w:p>
      <w:pPr>
        <w:pStyle w:val="Normal"/>
        <w:bidi w:val="0"/>
        <w:ind w:firstLine="540"/>
        <w:jc w:val="start"/>
        <w:rPr/>
      </w:pPr>
      <w:r>
        <w:rPr/>
        <w:t>а) коррупционность нормативных правовых актов и их проектов - наличие в нормативных правовых актов и в его проекте одного или нескольких коррупциогенных факторов;</w:t>
      </w:r>
    </w:p>
    <w:p>
      <w:pPr>
        <w:pStyle w:val="Normal"/>
        <w:bidi w:val="0"/>
        <w:ind w:firstLine="540"/>
        <w:jc w:val="start"/>
        <w:rPr/>
      </w:pPr>
      <w:r>
        <w:rPr/>
        <w:t>б) коррупциогенные факторы -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pPr>
        <w:pStyle w:val="Normal"/>
        <w:bidi w:val="0"/>
        <w:jc w:val="start"/>
        <w:rPr>
          <w:sz w:val="20"/>
          <w:szCs w:val="20"/>
        </w:rPr>
      </w:pPr>
      <w:r>
        <w:rPr>
          <w:sz w:val="20"/>
          <w:szCs w:val="20"/>
        </w:rPr>
        <w:t>(подпункт  в редакции решения Думы городского округа от 17.12.2019 года № 39/13)</w:t>
      </w:r>
    </w:p>
    <w:p>
      <w:pPr>
        <w:pStyle w:val="Normal"/>
        <w:bidi w:val="0"/>
        <w:ind w:firstLine="540"/>
        <w:jc w:val="start"/>
        <w:rPr/>
      </w:pPr>
      <w:r>
        <w:rPr/>
        <w:t>в) коррупционные действия (коррупционные риски)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лицом, замещающим должность муниципальной службы своего должностного положения вопреки законным интересам общества, муниципального образования,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pPr>
        <w:pStyle w:val="Normal"/>
        <w:bidi w:val="0"/>
        <w:ind w:firstLine="540"/>
        <w:jc w:val="start"/>
        <w:rPr/>
      </w:pPr>
      <w:r>
        <w:rPr/>
        <w:t>г) дискреционные полномочия органов местного самоуправления - совокупность прав и обязанностей органов местного самоуправления, их структурных подразделений и должностных лиц, предоставляющих органу или должностному лицу возможность по своему усмотрению определить вид и содержание (полностью или частично) принимаемого управленческого решения либо возможность выбора по своему усмотрению одного из нескольких предусмотренных нормативными правовыми актами вариантов управленческих решений;</w:t>
      </w:r>
    </w:p>
    <w:p>
      <w:pPr>
        <w:pStyle w:val="Normal"/>
        <w:bidi w:val="0"/>
        <w:ind w:firstLine="540"/>
        <w:jc w:val="start"/>
        <w:rPr/>
      </w:pPr>
      <w:r>
        <w:rPr/>
        <w:t>д) административная процедура - закрепленный в нормативном правовом акте порядок последовательного совершения юридически значимых действий его участников, направленный на разрешение индивидуального юридического дела (реализацию субъективных прав, исполнение юридических обязанностей) или выполнение отдельной публичной функции (например, ведение реестра, регистрация, контрольная проверка).</w:t>
      </w:r>
    </w:p>
    <w:p>
      <w:pPr>
        <w:pStyle w:val="Normal"/>
        <w:bidi w:val="0"/>
        <w:ind w:firstLine="540"/>
        <w:jc w:val="start"/>
        <w:rPr/>
      </w:pPr>
      <w:r>
        <w:rPr/>
        <w:t>6.   Задачами антикоррупционной экспертизы нормативных правовых актов и их проектов являются:</w:t>
      </w:r>
    </w:p>
    <w:p>
      <w:pPr>
        <w:pStyle w:val="Normal"/>
        <w:bidi w:val="0"/>
        <w:ind w:firstLine="540"/>
        <w:jc w:val="start"/>
        <w:rPr/>
      </w:pPr>
      <w:r>
        <w:rPr/>
        <w:t>а) выявление коррупциогенных факторов;</w:t>
      </w:r>
    </w:p>
    <w:p>
      <w:pPr>
        <w:pStyle w:val="Normal"/>
        <w:bidi w:val="0"/>
        <w:ind w:firstLine="540"/>
        <w:jc w:val="start"/>
        <w:rPr/>
      </w:pPr>
      <w:r>
        <w:rPr/>
        <w:t>б) рекомендации по устранению коррупциогенных факторов в целом;</w:t>
      </w:r>
    </w:p>
    <w:p>
      <w:pPr>
        <w:pStyle w:val="Normal"/>
        <w:bidi w:val="0"/>
        <w:ind w:firstLine="540"/>
        <w:jc w:val="start"/>
        <w:rPr/>
      </w:pPr>
      <w:r>
        <w:rPr/>
        <w:t>в) рекомендации по включению в правовые акты и их проекты превентивных антикоррупционных норм.</w:t>
      </w:r>
    </w:p>
    <w:p>
      <w:pPr>
        <w:pStyle w:val="Normal"/>
        <w:bidi w:val="0"/>
        <w:ind w:firstLine="540"/>
        <w:jc w:val="start"/>
        <w:rPr/>
      </w:pPr>
      <w:r>
        <w:rPr/>
      </w:r>
    </w:p>
    <w:p>
      <w:pPr>
        <w:pStyle w:val="Normal"/>
        <w:bidi w:val="0"/>
        <w:ind w:firstLine="540"/>
        <w:jc w:val="start"/>
        <w:rPr>
          <w:b/>
          <w:b/>
        </w:rPr>
      </w:pPr>
      <w:r>
        <w:rPr>
          <w:b/>
        </w:rPr>
        <w:t>Глава 2. Коррупциогенные факторы</w:t>
      </w:r>
    </w:p>
    <w:p>
      <w:pPr>
        <w:pStyle w:val="Normal"/>
        <w:bidi w:val="0"/>
        <w:ind w:firstLine="540"/>
        <w:jc w:val="start"/>
        <w:rPr>
          <w:b/>
          <w:b/>
        </w:rPr>
      </w:pPr>
      <w:r>
        <w:rPr>
          <w:b/>
        </w:rPr>
      </w:r>
    </w:p>
    <w:p>
      <w:pPr>
        <w:pStyle w:val="Normal"/>
        <w:bidi w:val="0"/>
        <w:ind w:firstLine="540"/>
        <w:jc w:val="start"/>
        <w:rPr>
          <w:bCs/>
        </w:rPr>
      </w:pPr>
      <w:r>
        <w:rPr>
          <w:bCs/>
        </w:rPr>
        <w:t>7.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являются:</w:t>
      </w:r>
    </w:p>
    <w:p>
      <w:pPr>
        <w:pStyle w:val="Normal"/>
        <w:bidi w:val="0"/>
        <w:ind w:firstLine="540"/>
        <w:jc w:val="start"/>
        <w:rPr>
          <w:bCs/>
        </w:rPr>
      </w:pPr>
      <w:r>
        <w:rPr>
          <w:bCs/>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местного самоуправления (их должностных лиц);</w:t>
      </w:r>
    </w:p>
    <w:p>
      <w:pPr>
        <w:pStyle w:val="Normal"/>
        <w:bidi w:val="0"/>
        <w:ind w:firstLine="540"/>
        <w:jc w:val="start"/>
        <w:rPr>
          <w:bCs/>
        </w:rPr>
      </w:pPr>
      <w:r>
        <w:rPr>
          <w:bCs/>
        </w:rPr>
        <w:t>б) определение компетенции по формуле "вправе" - диспозитивное установление возможности совершения органами местного самоуправления (их должностными лицами) действий в отношении граждан и организаций;</w:t>
      </w:r>
    </w:p>
    <w:p>
      <w:pPr>
        <w:pStyle w:val="Normal"/>
        <w:bidi w:val="0"/>
        <w:ind w:firstLine="540"/>
        <w:jc w:val="start"/>
        <w:rPr>
          <w:bCs/>
        </w:rPr>
      </w:pPr>
      <w:r>
        <w:rPr>
          <w:bCs/>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местного самоуправления (их должностных лиц);</w:t>
      </w:r>
    </w:p>
    <w:p>
      <w:pPr>
        <w:pStyle w:val="Normal"/>
        <w:bidi w:val="0"/>
        <w:ind w:firstLine="540"/>
        <w:jc w:val="start"/>
        <w:rPr>
          <w:bCs/>
        </w:rPr>
      </w:pPr>
      <w:r>
        <w:rPr>
          <w:bCs/>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местного самоуправления, принявшего первоначальный нормативный правовой акт;</w:t>
      </w:r>
    </w:p>
    <w:p>
      <w:pPr>
        <w:pStyle w:val="Normal"/>
        <w:bidi w:val="0"/>
        <w:ind w:firstLine="540"/>
        <w:jc w:val="start"/>
        <w:rPr>
          <w:bCs/>
        </w:rPr>
      </w:pPr>
      <w:r>
        <w:rPr>
          <w:bCs/>
        </w:rPr>
        <w:t>д) принятие нормативного правового акта за пределами компетенции - нарушение компетенции органов местного самоуправления (их должностных лиц) при принятии нормативных правовых актов;</w:t>
      </w:r>
    </w:p>
    <w:p>
      <w:pPr>
        <w:pStyle w:val="Normal"/>
        <w:bidi w:val="0"/>
        <w:ind w:firstLine="540"/>
        <w:jc w:val="start"/>
        <w:rPr>
          <w:bCs/>
        </w:rPr>
      </w:pPr>
      <w:r>
        <w:rPr>
          <w:bCs/>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pPr>
        <w:pStyle w:val="Normal"/>
        <w:bidi w:val="0"/>
        <w:ind w:firstLine="540"/>
        <w:jc w:val="start"/>
        <w:rPr>
          <w:bCs/>
        </w:rPr>
      </w:pPr>
      <w:r>
        <w:rPr>
          <w:bCs/>
        </w:rPr>
        <w:t>ж) отсутствие или неполнота административных процедур - отсутствие порядка совершения органами местного самоуправления (их должностными лицами) определенных действий либо одного из элементов такого порядка;</w:t>
      </w:r>
    </w:p>
    <w:p>
      <w:pPr>
        <w:pStyle w:val="Normal"/>
        <w:bidi w:val="0"/>
        <w:ind w:firstLine="540"/>
        <w:jc w:val="start"/>
        <w:rPr>
          <w:bCs/>
        </w:rPr>
      </w:pPr>
      <w:r>
        <w:rPr>
          <w:bCs/>
        </w:rPr>
        <w:t>з) отказ от конкурсных (аукционных) процедур - закрепление административного порядка предоставления права (блага).</w:t>
      </w:r>
    </w:p>
    <w:p>
      <w:pPr>
        <w:pStyle w:val="Normal"/>
        <w:bidi w:val="0"/>
        <w:ind w:firstLine="540"/>
        <w:jc w:val="start"/>
        <w:rPr>
          <w:bCs/>
        </w:rPr>
      </w:pPr>
      <w:r>
        <w:rPr>
          <w:bCs/>
        </w:rPr>
        <w:t>8.   Коррупциогенными факторами, содержащими неопределенные, трудновыполнимые и (или) обременительные требования к гражданам и организациям, являются:</w:t>
      </w:r>
    </w:p>
    <w:p>
      <w:pPr>
        <w:pStyle w:val="Normal"/>
        <w:bidi w:val="0"/>
        <w:ind w:firstLine="540"/>
        <w:jc w:val="start"/>
        <w:rPr>
          <w:bCs/>
        </w:rPr>
      </w:pPr>
      <w:r>
        <w:rPr>
          <w:bCs/>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pPr>
        <w:pStyle w:val="Normal"/>
        <w:bidi w:val="0"/>
        <w:ind w:firstLine="540"/>
        <w:jc w:val="start"/>
        <w:rPr>
          <w:bCs/>
        </w:rPr>
      </w:pPr>
      <w:r>
        <w:rPr>
          <w:bCs/>
        </w:rPr>
        <w:t>б) злоупотребление правом заявителя органами местного самоуправления (их должностными лицами) - отсутствие четкой регламентации прав граждан и организаций;</w:t>
      </w:r>
    </w:p>
    <w:p>
      <w:pPr>
        <w:pStyle w:val="Normal"/>
        <w:bidi w:val="0"/>
        <w:ind w:firstLine="540"/>
        <w:jc w:val="start"/>
        <w:rPr>
          <w:bCs/>
        </w:rPr>
      </w:pPr>
      <w:r>
        <w:rPr>
          <w:bCs/>
        </w:rPr>
        <w:t>в) юридико-лингвистическая неопределенность - употребление неустоявшихся, двусмысленных терминов и категорий оценочного характера.</w:t>
      </w:r>
    </w:p>
    <w:p>
      <w:pPr>
        <w:pStyle w:val="Normal"/>
        <w:bidi w:val="0"/>
        <w:ind w:firstLine="540"/>
        <w:jc w:val="start"/>
        <w:rPr/>
      </w:pPr>
      <w:r>
        <w:rPr/>
      </w:r>
    </w:p>
    <w:p>
      <w:pPr>
        <w:pStyle w:val="Normal"/>
        <w:bidi w:val="0"/>
        <w:ind w:firstLine="540"/>
        <w:jc w:val="start"/>
        <w:rPr>
          <w:b/>
          <w:b/>
        </w:rPr>
      </w:pPr>
      <w:r>
        <w:rPr>
          <w:b/>
        </w:rPr>
        <w:t>Глава 3. Понятие и виды антикоррупционной экспертизы</w:t>
      </w:r>
    </w:p>
    <w:p>
      <w:pPr>
        <w:pStyle w:val="Normal"/>
        <w:bidi w:val="0"/>
        <w:ind w:firstLine="540"/>
        <w:jc w:val="start"/>
        <w:rPr>
          <w:b/>
          <w:b/>
        </w:rPr>
      </w:pPr>
      <w:r>
        <w:rPr>
          <w:b/>
        </w:rPr>
      </w:r>
    </w:p>
    <w:p>
      <w:pPr>
        <w:pStyle w:val="Normal"/>
        <w:bidi w:val="0"/>
        <w:ind w:firstLine="540"/>
        <w:jc w:val="start"/>
        <w:rPr/>
      </w:pPr>
      <w:r>
        <w:rPr/>
        <w:t>9.   Антикоррупционная экспертиза нормативных правовых актов и их проектов - деятельность, направленная на выявление в тексте нормативного правового акта или его проекта коррупциогенных факторов, оценку степени их коррупционности и выработку рекомендаций по их ликвидации или нейтрализации вызываемых ими коррупционных действий (коррупционных рисков).</w:t>
      </w:r>
    </w:p>
    <w:p>
      <w:pPr>
        <w:pStyle w:val="Normal"/>
        <w:bidi w:val="0"/>
        <w:ind w:firstLine="540"/>
        <w:jc w:val="start"/>
        <w:rPr/>
      </w:pPr>
      <w:r>
        <w:rPr/>
        <w:t>10.   В городском округе ЗАТО Свободный проводятся следующие виды антикоррупционной экспертизы - внутренняя, контрольно-надзорная и независимая антикоррупционные экспертизы нормативных правовых актов и их проектов.</w:t>
      </w:r>
    </w:p>
    <w:p>
      <w:pPr>
        <w:pStyle w:val="Normal"/>
        <w:bidi w:val="0"/>
        <w:ind w:firstLine="540"/>
        <w:jc w:val="start"/>
        <w:rPr/>
      </w:pPr>
      <w:r>
        <w:rPr/>
        <w:t>11.   Внутренняя антикоррупционная экспертиза нормативных правовых актов и их проектов осуществляется подразделение правового обеспечения администрации городского округа.</w:t>
      </w:r>
    </w:p>
    <w:p>
      <w:pPr>
        <w:pStyle w:val="Normal"/>
        <w:bidi w:val="0"/>
        <w:jc w:val="start"/>
        <w:rPr>
          <w:sz w:val="20"/>
          <w:szCs w:val="20"/>
        </w:rPr>
      </w:pPr>
      <w:r>
        <w:rPr>
          <w:sz w:val="20"/>
          <w:szCs w:val="20"/>
        </w:rPr>
        <w:t>(пункт 11 в редакции решения Думы городского округа от 17.12.2019 года № 39/13)</w:t>
      </w:r>
    </w:p>
    <w:p>
      <w:pPr>
        <w:pStyle w:val="Normal"/>
        <w:bidi w:val="0"/>
        <w:ind w:firstLine="540"/>
        <w:jc w:val="start"/>
        <w:rPr/>
      </w:pPr>
      <w:r>
        <w:rPr/>
        <w:t>12. Контрольно-надзорная антикоррупционная экспертиза нормативных правовых актов и их проектов проводится Верхнесалдинской городской прокуратурой и органами Министерства юстиции РФ.</w:t>
      </w:r>
    </w:p>
    <w:p>
      <w:pPr>
        <w:pStyle w:val="Normal"/>
        <w:bidi w:val="0"/>
        <w:jc w:val="start"/>
        <w:rPr>
          <w:sz w:val="20"/>
          <w:szCs w:val="20"/>
        </w:rPr>
      </w:pPr>
      <w:r>
        <w:rPr>
          <w:sz w:val="20"/>
          <w:szCs w:val="20"/>
        </w:rPr>
        <w:t>(пункт 12 в редакции решения Думы городского округа от 23.03.2021 года № 54/15)</w:t>
      </w:r>
    </w:p>
    <w:p>
      <w:pPr>
        <w:pStyle w:val="Normal"/>
        <w:bidi w:val="0"/>
        <w:ind w:firstLine="540"/>
        <w:jc w:val="start"/>
        <w:rPr/>
      </w:pPr>
      <w:r>
        <w:rPr/>
        <w:t>13.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года № 96 «Об антикоррупционной экспертизе нормативных правовых актов и проектов нормативных правовых актов».</w:t>
      </w:r>
    </w:p>
    <w:p>
      <w:pPr>
        <w:pStyle w:val="Normal"/>
        <w:bidi w:val="0"/>
        <w:ind w:firstLine="540"/>
        <w:jc w:val="start"/>
        <w:rPr>
          <w:b/>
          <w:b/>
        </w:rPr>
      </w:pPr>
      <w:r>
        <w:rPr>
          <w:b/>
        </w:rPr>
      </w:r>
    </w:p>
    <w:p>
      <w:pPr>
        <w:pStyle w:val="Normal"/>
        <w:bidi w:val="0"/>
        <w:ind w:firstLine="540"/>
        <w:jc w:val="start"/>
        <w:rPr>
          <w:b/>
          <w:b/>
        </w:rPr>
      </w:pPr>
      <w:r>
        <w:rPr>
          <w:b/>
        </w:rPr>
        <w:t>Глава 4. Порядок и правила проведения антикоррупционной экспертизы нормативных правовых актов и их проектов</w:t>
      </w:r>
    </w:p>
    <w:p>
      <w:pPr>
        <w:pStyle w:val="Normal"/>
        <w:bidi w:val="0"/>
        <w:ind w:firstLine="540"/>
        <w:jc w:val="start"/>
        <w:rPr>
          <w:b/>
          <w:b/>
        </w:rPr>
      </w:pPr>
      <w:r>
        <w:rPr>
          <w:b/>
        </w:rPr>
      </w:r>
    </w:p>
    <w:p>
      <w:pPr>
        <w:pStyle w:val="Normal"/>
        <w:bidi w:val="0"/>
        <w:ind w:firstLine="540"/>
        <w:jc w:val="start"/>
        <w:rPr/>
      </w:pPr>
      <w:r>
        <w:rPr/>
        <w:t>14.   После подготовки проекта нормативного правового акта органом местного самоуправления или должностном лицом, к полномочиям которого в соответствии с Уставом городского округа ЗАТО Свободный отнесено издание нормативных правовых актов, подразделением правового обеспечения администрации городского округа проводится внутренняя правовая и антикоррупционная экспертизы этого проекта.</w:t>
      </w:r>
    </w:p>
    <w:p>
      <w:pPr>
        <w:pStyle w:val="Normal"/>
        <w:bidi w:val="0"/>
        <w:ind w:firstLine="540"/>
        <w:jc w:val="start"/>
        <w:rPr/>
      </w:pPr>
      <w:r>
        <w:rPr/>
        <w:t>Внутренняя антикоррупционная экспертиза действующих нормативных правовых актов также осуществляется подразделение правового обеспечения администрации городского округа.</w:t>
      </w:r>
    </w:p>
    <w:p>
      <w:pPr>
        <w:pStyle w:val="Normal"/>
        <w:bidi w:val="0"/>
        <w:jc w:val="start"/>
        <w:rPr>
          <w:sz w:val="20"/>
          <w:szCs w:val="20"/>
        </w:rPr>
      </w:pPr>
      <w:r>
        <w:rPr>
          <w:sz w:val="20"/>
          <w:szCs w:val="20"/>
        </w:rPr>
        <w:t>(пункт 14 в редакции решения Думы городского округа от 17.12.2019 года № 39/13)</w:t>
      </w:r>
    </w:p>
    <w:p>
      <w:pPr>
        <w:pStyle w:val="Normal"/>
        <w:bidi w:val="0"/>
        <w:ind w:firstLine="540"/>
        <w:jc w:val="start"/>
        <w:rPr/>
      </w:pPr>
      <w:r>
        <w:rPr/>
        <w:t xml:space="preserve">15.   При проведении внутренней антикоррупционной экспертизы осуществляется направленный на выявление коррупциогенных факторов анализ норм права, содержащихся в нормативном правовом акте или его проекте, включающий оценку предмета правового регулирования анализируемого акта, его целей и задач. </w:t>
      </w:r>
    </w:p>
    <w:p>
      <w:pPr>
        <w:pStyle w:val="Normal"/>
        <w:bidi w:val="0"/>
        <w:ind w:firstLine="540"/>
        <w:jc w:val="start"/>
        <w:rPr>
          <w:bCs/>
        </w:rPr>
      </w:pPr>
      <w:r>
        <w:rPr>
          <w:bCs/>
        </w:rPr>
        <w:t>16.   В ходе проведения внутренней антикоррупционной экспертизы анализу подвергается каждая правовая норма, которая исследуется для выявления каждого из коррупциогенных факторов.</w:t>
      </w:r>
    </w:p>
    <w:p>
      <w:pPr>
        <w:pStyle w:val="Normal"/>
        <w:bidi w:val="0"/>
        <w:ind w:firstLine="540"/>
        <w:jc w:val="start"/>
        <w:rPr/>
      </w:pPr>
      <w:r>
        <w:rPr/>
        <w:t>17.   Результатом проведения внутренней антикоррупционной экспертизы проекта нормативного правового акта являются выявленные в его нормах коррупциогенные факторы или вывод об их отсутствии.</w:t>
      </w:r>
    </w:p>
    <w:p>
      <w:pPr>
        <w:pStyle w:val="Normal"/>
        <w:bidi w:val="0"/>
        <w:ind w:firstLine="540"/>
        <w:jc w:val="start"/>
        <w:rPr/>
      </w:pPr>
      <w:r>
        <w:rPr/>
        <w:t xml:space="preserve"> </w:t>
      </w:r>
      <w:r>
        <w:rPr/>
        <w:t>Если в проекте нормативного правового акта коррупциогенные факторы не выявлены, делается отметка в листе согласования: «Проект коррупциогенных факторов не содержит».</w:t>
      </w:r>
    </w:p>
    <w:p>
      <w:pPr>
        <w:pStyle w:val="Normal"/>
        <w:bidi w:val="0"/>
        <w:ind w:firstLine="540"/>
        <w:jc w:val="start"/>
        <w:rPr/>
      </w:pPr>
      <w:r>
        <w:rPr/>
        <w:t>При выявлении в проекте нормативного правового акта коррупциогенных факторов к листу согласования прилагается заключение по форме согласно Приложению № 1 к Положению «О порядке проведения антикоррупционной экспертизы нормативных правовых актов органов местного самоуправления городского округа ЗАТО Свободный и проектов нормативных правовых актов органов местного самоуправления городского округа ЗАТО Свободный», в котором указываются нормы (разделы, главы, статьи, части, пункты, абзацы статей) проекта, содержащие указанные факторы, и предложения по их устранению.</w:t>
      </w:r>
    </w:p>
    <w:p>
      <w:pPr>
        <w:pStyle w:val="Normal"/>
        <w:bidi w:val="0"/>
        <w:ind w:firstLine="540"/>
        <w:jc w:val="start"/>
        <w:rPr>
          <w:bCs/>
        </w:rPr>
      </w:pPr>
      <w:r>
        <w:rPr>
          <w:bCs/>
        </w:rPr>
        <w:t>18.   В случае выявления в нормативном правовом акте или в его проекте положений, не относящихся к числу коррупциогенных факторов, которые могут способствовать проявлениям коррупции, в заключение также предусматриваются рекомендации по их устранению.</w:t>
      </w:r>
    </w:p>
    <w:p>
      <w:pPr>
        <w:pStyle w:val="Normal"/>
        <w:bidi w:val="0"/>
        <w:ind w:firstLine="540"/>
        <w:jc w:val="start"/>
        <w:rPr/>
      </w:pPr>
      <w:r>
        <w:rPr>
          <w:bCs/>
        </w:rPr>
        <w:t>19</w:t>
      </w:r>
      <w:r>
        <w:rPr>
          <w:bCs/>
          <w:i/>
        </w:rPr>
        <w:t>.</w:t>
      </w:r>
      <w:r>
        <w:rPr>
          <w:bCs/>
        </w:rPr>
        <w:t xml:space="preserve">   </w:t>
      </w:r>
      <w:r>
        <w:rPr/>
        <w:t>В целях устранения выявленных коррупциогенных факторов проект нормативного правового акта направляется на доработку, в нормативный правовой акт вносятся соответствующие изменения.</w:t>
      </w:r>
    </w:p>
    <w:p>
      <w:pPr>
        <w:pStyle w:val="Normal"/>
        <w:bidi w:val="0"/>
        <w:ind w:firstLine="540"/>
        <w:jc w:val="start"/>
        <w:rPr/>
      </w:pPr>
      <w:r>
        <w:rPr/>
        <w:t>20.   Контрольно-надзорная антикоррупционная экспертиза нормативных правовых актов и их проектов проводится органами прокуратуры по вопросам, касающимся:</w:t>
      </w:r>
    </w:p>
    <w:p>
      <w:pPr>
        <w:pStyle w:val="Normal"/>
        <w:bidi w:val="0"/>
        <w:ind w:firstLine="540"/>
        <w:jc w:val="start"/>
        <w:rPr/>
      </w:pPr>
      <w:r>
        <w:rPr/>
        <w:t>1) прав, свобод и обязанностей человека и гражданина;</w:t>
      </w:r>
    </w:p>
    <w:p>
      <w:pPr>
        <w:pStyle w:val="Normal"/>
        <w:bidi w:val="0"/>
        <w:ind w:firstLine="540"/>
        <w:jc w:val="start"/>
        <w:rPr/>
      </w:pPr>
      <w:r>
        <w:rPr/>
        <w:t>2) муниципальной собственности, муниципальной службы, бюджетного, налогового, таможенного, лесного, водного, земельного, градостроительного, природоохранного законодательства, законодательства о лицензировании;</w:t>
      </w:r>
    </w:p>
    <w:p>
      <w:pPr>
        <w:pStyle w:val="Normal"/>
        <w:bidi w:val="0"/>
        <w:ind w:firstLine="540"/>
        <w:jc w:val="start"/>
        <w:rPr/>
      </w:pPr>
      <w:r>
        <w:rPr/>
        <w:t>3) социальных гарантий лицам, замещающим (замещавшим) муниципальные должности, должности муниципальной службы.</w:t>
      </w:r>
    </w:p>
    <w:p>
      <w:pPr>
        <w:pStyle w:val="Normal"/>
        <w:bidi w:val="0"/>
        <w:ind w:firstLine="540"/>
        <w:jc w:val="start"/>
        <w:rPr/>
      </w:pPr>
      <w:r>
        <w:rPr/>
        <w:t>21. В целях обеспечения возможности проведения контрольно-надзорной антикоррупционной экспертизы проектов нормативных правовых актов органы местного самоуправления или должностные лица органов местного самоуправления городского округа ЗАТО Свободный – разработчики проектов нормативных правовых актов направляют в Верхнесалдинскую городскую прокуратуру проекты нормативных правовых актов по мере необходимости принятия таких нормативных правовых актов.</w:t>
      </w:r>
    </w:p>
    <w:p>
      <w:pPr>
        <w:pStyle w:val="Normal"/>
        <w:bidi w:val="0"/>
        <w:jc w:val="start"/>
        <w:rPr>
          <w:sz w:val="20"/>
          <w:szCs w:val="20"/>
        </w:rPr>
      </w:pPr>
      <w:r>
        <w:rPr>
          <w:sz w:val="20"/>
          <w:szCs w:val="20"/>
        </w:rPr>
        <w:t>(пункт 21 в редакции решения Думы городского округа от 23.03.2021 года № 54/15)</w:t>
      </w:r>
    </w:p>
    <w:p>
      <w:pPr>
        <w:pStyle w:val="Normal"/>
        <w:bidi w:val="0"/>
        <w:ind w:firstLine="540"/>
        <w:jc w:val="start"/>
        <w:rPr/>
      </w:pPr>
      <w:r>
        <w:rPr/>
        <w:t>22.   Выявленные в нормативных правовых актах и их проектах коррупциогенные факторы отражаются в требовании прокурора об изменении нормативного правового акта или его проекта или в обращении прокурора в суд в порядке, предусмотренном процессуальным законодательством Российской Федерации;</w:t>
      </w:r>
    </w:p>
    <w:p>
      <w:pPr>
        <w:pStyle w:val="Normal"/>
        <w:bidi w:val="0"/>
        <w:ind w:firstLine="540"/>
        <w:jc w:val="start"/>
        <w:rPr/>
      </w:pPr>
      <w:r>
        <w:rPr/>
        <w:t>23.   В требовании прокурора об изменении нормативного правового акта или его проекта в заключении должны быть указаны выявленные в нормативном правовом акте или его проекте коррупциогенные факторы и предложены способы их устранения.</w:t>
      </w:r>
    </w:p>
    <w:p>
      <w:pPr>
        <w:pStyle w:val="Normal"/>
        <w:bidi w:val="0"/>
        <w:ind w:firstLine="540"/>
        <w:jc w:val="start"/>
        <w:rPr/>
      </w:pPr>
      <w:r>
        <w:rPr/>
        <w:t>24.   Требование прокурора об изменении нормативного правового акта или его проекта подлежит обязательному рассмотрению соответствующими органом местного самоуправления или должностным лицом не позднее чем в десятидневный срок со дня поступления требования и учитывается в установленном порядке соответствующим органом местного самоуправления или должностным лицом городского округа. Требование прокурора об изменении нормативного правового акта и его проекта, направленное в Думу городского округа ЗАТО Свободный, подлежит обязательному рассмотрению на ближайшем заседании и учитывается в установленном порядке соответствующим органом местного самоуправления или должностным лицом местного самоуправления городского округа, который издал этот акт, в соответствии с его компетенцией.</w:t>
      </w:r>
    </w:p>
    <w:p>
      <w:pPr>
        <w:pStyle w:val="Normal"/>
        <w:bidi w:val="0"/>
        <w:ind w:firstLine="540"/>
        <w:jc w:val="start"/>
        <w:rPr/>
      </w:pPr>
      <w:r>
        <w:rPr/>
        <w:t>25.   Требование прокурора об изменении нормативного правового акта или его проекта может быть обжаловано в установленном законом порядке.</w:t>
      </w:r>
    </w:p>
    <w:p>
      <w:pPr>
        <w:pStyle w:val="Normal"/>
        <w:bidi w:val="0"/>
        <w:ind w:firstLine="540"/>
        <w:jc w:val="start"/>
        <w:rPr/>
      </w:pPr>
      <w:r>
        <w:rPr/>
        <w:t>26.   Заключение носит рекомендательный характер и подлежит обязательному рассмотрению соответствующим органом местного самоуправления или должностным лицом местного самоуправления городского округа.</w:t>
      </w:r>
    </w:p>
    <w:p>
      <w:pPr>
        <w:pStyle w:val="Normal"/>
        <w:bidi w:val="0"/>
        <w:ind w:firstLine="540"/>
        <w:jc w:val="start"/>
        <w:rPr/>
      </w:pPr>
      <w:r>
        <w:rPr/>
        <w:t>27.   Разногласия, возникающие при оценке указанных в заключении коррупциогенных факторов, разрешаются в установленном законом порядке.</w:t>
      </w:r>
    </w:p>
    <w:p>
      <w:pPr>
        <w:pStyle w:val="Normal"/>
        <w:bidi w:val="0"/>
        <w:ind w:firstLine="540"/>
        <w:jc w:val="start"/>
        <w:rPr>
          <w:szCs w:val="20"/>
        </w:rPr>
      </w:pPr>
      <w:r>
        <w:rPr/>
        <w:t>28.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методикой проведения антикоррупционной экспертизы нормативных правовых актов и проектов.</w:t>
      </w:r>
      <w:r>
        <w:rPr>
          <w:szCs w:val="20"/>
        </w:rPr>
        <w:t xml:space="preserve"> </w:t>
      </w:r>
    </w:p>
    <w:p>
      <w:pPr>
        <w:pStyle w:val="Normal"/>
        <w:bidi w:val="0"/>
        <w:jc w:val="start"/>
        <w:rPr>
          <w:sz w:val="20"/>
          <w:szCs w:val="20"/>
        </w:rPr>
      </w:pPr>
      <w:r>
        <w:rPr>
          <w:sz w:val="20"/>
          <w:szCs w:val="20"/>
        </w:rPr>
        <w:t>(пункт 28 в редакции решения Думы городского округа от 17.12.2019 года № 39/13)</w:t>
      </w:r>
    </w:p>
    <w:p>
      <w:pPr>
        <w:pStyle w:val="Normal"/>
        <w:bidi w:val="0"/>
        <w:ind w:firstLine="540"/>
        <w:jc w:val="start"/>
        <w:rPr/>
      </w:pPr>
      <w:r>
        <w:rPr/>
        <w:t>29.   В целях обеспечения возможности проведения независимой антикоррупционной экспертизы нормативных правовых актов и их проектов, затрагивающих права, свободы и обязанности человека и гражданина, устанавливающих правовой статус организаций или имеющих межведомственный характер, органы местного самоуправления или должностные лица местного самоуправления городского округа - разработчики проектов нормативных правовых актов в течение рабочего дня, соответствующего дню направления указанных проектов на независимую антикоррупционную экспертизу, размещают эти проекты на своих официальных сайтах в сети Интернет с указанием дат начала и окончания приема заключений по результатам независимой антикоррупционной экспертизы.</w:t>
      </w:r>
    </w:p>
    <w:p>
      <w:pPr>
        <w:pStyle w:val="Normal"/>
        <w:bidi w:val="0"/>
        <w:ind w:firstLine="540"/>
        <w:jc w:val="start"/>
        <w:rPr/>
      </w:pPr>
      <w:r>
        <w:rPr/>
        <w:t>30.   Результаты независимой антикоррупционной экспертизы отражаются в заключении по форме, утверждаемой Министерством юстиции Российской Федерации.</w:t>
      </w:r>
    </w:p>
    <w:p>
      <w:pPr>
        <w:pStyle w:val="Normal"/>
        <w:bidi w:val="0"/>
        <w:ind w:firstLine="540"/>
        <w:jc w:val="start"/>
        <w:rPr>
          <w:szCs w:val="20"/>
        </w:rPr>
      </w:pPr>
      <w:r>
        <w:rPr/>
        <w:t>31. В заключении по результатам независимой антикоррупционной экспертизы должны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r>
        <w:rPr>
          <w:szCs w:val="20"/>
        </w:rPr>
        <w:t xml:space="preserve"> </w:t>
      </w:r>
    </w:p>
    <w:p>
      <w:pPr>
        <w:pStyle w:val="Normal"/>
        <w:bidi w:val="0"/>
        <w:jc w:val="start"/>
        <w:rPr>
          <w:sz w:val="20"/>
          <w:szCs w:val="20"/>
        </w:rPr>
      </w:pPr>
      <w:r>
        <w:rPr>
          <w:sz w:val="20"/>
          <w:szCs w:val="20"/>
        </w:rPr>
        <w:t>(пункт 31 в редакции решения Думы городского округа от 17.12.2019 года № 39/13)</w:t>
      </w:r>
    </w:p>
    <w:p>
      <w:pPr>
        <w:pStyle w:val="Normal"/>
        <w:bidi w:val="0"/>
        <w:ind w:firstLine="540"/>
        <w:jc w:val="start"/>
        <w:rPr>
          <w:sz w:val="20"/>
          <w:szCs w:val="20"/>
        </w:rPr>
      </w:pPr>
      <w:r>
        <w:rPr/>
        <w:t>32. Заключение по результатам независимой антикоррупционной экспертизы носит рекомендательный характер и подлежит обязательному рассмотрению органом местного самоуправления, организацией или должностным лицом местного самоуправления городского округа, которым оно направлено,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r>
        <w:rPr>
          <w:sz w:val="20"/>
          <w:szCs w:val="20"/>
        </w:rPr>
        <w:t xml:space="preserve"> </w:t>
      </w:r>
    </w:p>
    <w:p>
      <w:pPr>
        <w:pStyle w:val="Normal"/>
        <w:bidi w:val="0"/>
        <w:jc w:val="start"/>
        <w:rPr>
          <w:sz w:val="20"/>
          <w:szCs w:val="20"/>
        </w:rPr>
      </w:pPr>
      <w:r>
        <w:rPr>
          <w:sz w:val="20"/>
          <w:szCs w:val="20"/>
        </w:rPr>
        <w:t>(пункт 32 в редакции решения Думы городского округа от 17.12.2019 года № 39/13)</w:t>
      </w:r>
    </w:p>
    <w:p>
      <w:pPr>
        <w:pStyle w:val="Normal"/>
        <w:bidi w:val="0"/>
        <w:ind w:firstLine="540"/>
        <w:jc w:val="start"/>
        <w:rPr/>
      </w:pPr>
      <w:r>
        <w:rPr/>
        <w:t>33.   В случае если проект нормативного правового акта направлялся для проведения независимой антикоррупционной экспертизы, к проекту наряду с заключением внутренней экспертизы, прилагаются соответствующие экспертные заключения. В случае если в сроки, установленные для проведения независимой антикоррупционной экспертизы, не поступило экспертных заключений, считается, что в результате проведения независимой антикоррупционной экспертизы не выявлено коррупциогенных факторов.</w:t>
      </w:r>
    </w:p>
    <w:p>
      <w:pPr>
        <w:pStyle w:val="Normal"/>
        <w:bidi w:val="0"/>
        <w:ind w:firstLine="540"/>
        <w:jc w:val="start"/>
        <w:rPr>
          <w:bCs/>
        </w:rPr>
      </w:pPr>
      <w:r>
        <w:rPr>
          <w:bCs/>
        </w:rPr>
        <w:t xml:space="preserve">34.   В случае несогласия с содержащимися в заключениях по результатам независимой антикоррупционной экспертизы выводами о наличии в нормативном правовом акте или его проекте коррупциогенных факторов, орган местного самоуправления или должностное лицо </w:t>
      </w:r>
      <w:r>
        <w:rPr/>
        <w:t>местного самоуправления</w:t>
      </w:r>
      <w:r>
        <w:rPr>
          <w:bCs/>
        </w:rPr>
        <w:t xml:space="preserve"> городского округа, к полномочиям которого в соответствии с Уставом городского округа ЗАТО Свободный отнесено принятие этого нормативного правового акта, направляет лицу или организации, подготовившим соответствующее экспертное заключение, мотивированное обоснование выраженного несогласия.</w:t>
      </w:r>
    </w:p>
    <w:p>
      <w:pPr>
        <w:pStyle w:val="Normal"/>
        <w:bidi w:val="0"/>
        <w:ind w:firstLine="540"/>
        <w:jc w:val="start"/>
        <w:rPr>
          <w:b/>
          <w:b/>
          <w:sz w:val="28"/>
          <w:szCs w:val="28"/>
        </w:rPr>
      </w:pPr>
      <w:r>
        <w:rPr>
          <w:b/>
          <w:sz w:val="28"/>
          <w:szCs w:val="28"/>
        </w:rPr>
      </w:r>
    </w:p>
    <w:p>
      <w:pPr>
        <w:pStyle w:val="ConsPlusNormal"/>
        <w:numPr>
          <w:ilvl w:val="0"/>
          <w:numId w:val="0"/>
        </w:numPr>
        <w:ind w:start="0" w:hanging="0"/>
        <w:jc w:val="end"/>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start="0" w:hanging="0"/>
        <w:jc w:val="end"/>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start="0" w:hanging="0"/>
        <w:jc w:val="end"/>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start="0" w:hanging="0"/>
        <w:jc w:val="end"/>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start="0" w:hanging="0"/>
        <w:jc w:val="end"/>
        <w:outlineLvl w:val="1"/>
        <w:rPr>
          <w:rFonts w:ascii="Times New Roman" w:hAnsi="Times New Roman" w:cs="Times New Roman"/>
          <w:sz w:val="24"/>
          <w:szCs w:val="24"/>
        </w:rPr>
      </w:pPr>
      <w:r>
        <w:rPr>
          <w:rFonts w:cs="Times New Roman" w:ascii="Times New Roman" w:hAnsi="Times New Roman"/>
          <w:sz w:val="24"/>
          <w:szCs w:val="24"/>
        </w:rPr>
        <w:t>Приложение № 1</w:t>
      </w:r>
    </w:p>
    <w:p>
      <w:pPr>
        <w:pStyle w:val="ConsPlusNormal"/>
        <w:ind w:hanging="0"/>
        <w:jc w:val="center"/>
        <w:rPr>
          <w:rFonts w:ascii="Times New Roman" w:hAnsi="Times New Roman" w:cs="Times New Roman"/>
          <w:b/>
          <w:b/>
          <w:i/>
          <w:i/>
          <w:sz w:val="24"/>
          <w:szCs w:val="24"/>
        </w:rPr>
      </w:pPr>
      <w:r>
        <w:rPr>
          <w:rFonts w:cs="Times New Roman" w:ascii="Times New Roman" w:hAnsi="Times New Roman"/>
          <w:b/>
          <w:i/>
          <w:sz w:val="24"/>
          <w:szCs w:val="24"/>
        </w:rPr>
        <w:t>Заключение</w:t>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по результатам внутренней антикоррупционной экспертизы нормативного правового акта органов местного самоуправления городского округа ЗАТО Свободный и проекта нормативного правового акта органов местного самоуправления городского округа ЗАТО Свободный</w:t>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_____________________________________________________________________________________</w:t>
      </w:r>
    </w:p>
    <w:p>
      <w:pPr>
        <w:pStyle w:val="ConsPlusNormal"/>
        <w:ind w:hanging="0"/>
        <w:jc w:val="center"/>
        <w:rPr>
          <w:rFonts w:ascii="Times New Roman" w:hAnsi="Times New Roman" w:cs="Times New Roman"/>
        </w:rPr>
      </w:pPr>
      <w:r>
        <w:rPr>
          <w:rFonts w:cs="Times New Roman" w:ascii="Times New Roman" w:hAnsi="Times New Roman"/>
        </w:rPr>
        <w:t>(должность, ФИО лица, ответственное за проведение антикоррупционной экспертизы)</w:t>
      </w:r>
    </w:p>
    <w:p>
      <w:pPr>
        <w:pStyle w:val="ConsPlusNormal"/>
        <w:ind w:hanging="0"/>
        <w:rPr>
          <w:rFonts w:ascii="Times New Roman" w:hAnsi="Times New Roman" w:cs="Times New Roman"/>
          <w:sz w:val="28"/>
          <w:szCs w:val="28"/>
        </w:rPr>
      </w:pPr>
      <w:r>
        <w:rPr>
          <w:rFonts w:cs="Times New Roman" w:ascii="Times New Roman" w:hAnsi="Times New Roman"/>
          <w:sz w:val="24"/>
          <w:szCs w:val="24"/>
        </w:rPr>
        <w:t>руководствуясь Федеральным законом от 17.07.2009 года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года № 96 «Об антикоррупционной экспертизе нормативных правовых актов и проектов нормативных правовых актов» была проведена внутренняя антикоррупционная  экспертиза</w:t>
      </w:r>
      <w:r>
        <w:rPr>
          <w:rFonts w:cs="Times New Roman" w:ascii="Times New Roman" w:hAnsi="Times New Roman"/>
          <w:sz w:val="28"/>
          <w:szCs w:val="28"/>
        </w:rPr>
        <w:t xml:space="preserve"> ________________________________________________________________________________________________________________________________________________</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xml:space="preserve">В ходе проведения антикоррупционной </w:t>
      </w:r>
      <w:bookmarkStart w:id="0" w:name="_GoBack"/>
      <w:bookmarkEnd w:id="0"/>
      <w:r>
        <w:rPr>
          <w:rFonts w:cs="Times New Roman" w:ascii="Times New Roman" w:hAnsi="Times New Roman"/>
          <w:sz w:val="24"/>
          <w:szCs w:val="24"/>
        </w:rPr>
        <w:t>экспертизы установлено следующее:</w:t>
      </w:r>
    </w:p>
    <w:p>
      <w:pPr>
        <w:pStyle w:val="ConsPlusNormal"/>
        <w:ind w:hanging="0"/>
        <w:jc w:val="both"/>
        <w:rPr>
          <w:rFonts w:ascii="Times New Roman" w:hAnsi="Times New Roman" w:cs="Times New Roman"/>
          <w:sz w:val="28"/>
          <w:szCs w:val="28"/>
        </w:rPr>
      </w:pPr>
      <w:r>
        <w:rPr>
          <w:rFonts w:cs="Times New Roman" w:ascii="Times New Roman" w:hAnsi="Times New Roman"/>
          <w:sz w:val="28"/>
          <w:szCs w:val="28"/>
        </w:rPr>
      </w:r>
    </w:p>
    <w:tbl>
      <w:tblPr>
        <w:tblW w:w="9360" w:type="dxa"/>
        <w:jc w:val="start"/>
        <w:tblInd w:w="70" w:type="dxa"/>
        <w:tblLayout w:type="fixed"/>
        <w:tblCellMar>
          <w:top w:w="0" w:type="dxa"/>
          <w:start w:w="70" w:type="dxa"/>
          <w:bottom w:w="0" w:type="dxa"/>
          <w:end w:w="70" w:type="dxa"/>
        </w:tblCellMar>
        <w:tblLook w:firstRow="0" w:noVBand="0" w:lastRow="0" w:firstColumn="0" w:lastColumn="0" w:noHBand="0" w:val="0000"/>
      </w:tblPr>
      <w:tblGrid>
        <w:gridCol w:w="540"/>
        <w:gridCol w:w="5220"/>
        <w:gridCol w:w="3600"/>
      </w:tblGrid>
      <w:tr>
        <w:trPr>
          <w:trHeight w:val="480" w:hRule="atLeast"/>
          <w:cantSplit w:val="true"/>
        </w:trPr>
        <w:tc>
          <w:tcPr>
            <w:tcW w:w="540" w:type="dxa"/>
            <w:tcBorders>
              <w:top w:val="single" w:sz="6" w:space="0" w:color="000000"/>
              <w:start w:val="single" w:sz="6" w:space="0" w:color="000000"/>
              <w:bottom w:val="single" w:sz="6" w:space="0" w:color="000000"/>
              <w:end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w:t>
            </w:r>
          </w:p>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п/п</w:t>
            </w:r>
          </w:p>
        </w:tc>
        <w:tc>
          <w:tcPr>
            <w:tcW w:w="5220" w:type="dxa"/>
            <w:tcBorders>
              <w:top w:val="single" w:sz="6" w:space="0" w:color="000000"/>
              <w:start w:val="single" w:sz="6" w:space="0" w:color="000000"/>
              <w:bottom w:val="single" w:sz="6" w:space="0" w:color="000000"/>
              <w:end w:val="single" w:sz="6" w:space="0" w:color="000000"/>
            </w:tcBorders>
            <w:vAlign w:val="cente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 xml:space="preserve">Типичный коррупциогенный фактор,  </w:t>
              <w:br/>
              <w:t>проявления коррупциогенности</w:t>
            </w:r>
          </w:p>
        </w:tc>
        <w:tc>
          <w:tcPr>
            <w:tcW w:w="3600" w:type="dxa"/>
            <w:tcBorders>
              <w:top w:val="single" w:sz="6" w:space="0" w:color="000000"/>
              <w:start w:val="single" w:sz="6" w:space="0" w:color="000000"/>
              <w:bottom w:val="single" w:sz="6" w:space="0" w:color="000000"/>
              <w:end w:val="single" w:sz="6" w:space="0" w:color="000000"/>
            </w:tcBorders>
            <w:vAlign w:val="cente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Положение нормативного правового акта и проекта нормативного правового акта, в которой обнаружен   коррупциогенный фактор (разделы, главы, статьи, части, пункты, абзацы статей)</w:t>
            </w:r>
          </w:p>
        </w:tc>
      </w:tr>
      <w:tr>
        <w:trPr>
          <w:trHeight w:val="240" w:hRule="atLeast"/>
          <w:cantSplit w:val="true"/>
        </w:trPr>
        <w:tc>
          <w:tcPr>
            <w:tcW w:w="540" w:type="dxa"/>
            <w:tcBorders>
              <w:top w:val="single" w:sz="6" w:space="0" w:color="000000"/>
              <w:start w:val="single" w:sz="6" w:space="0" w:color="000000"/>
              <w:bottom w:val="single" w:sz="6" w:space="0" w:color="000000"/>
              <w:end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1</w:t>
            </w:r>
          </w:p>
        </w:tc>
        <w:tc>
          <w:tcPr>
            <w:tcW w:w="5220" w:type="dxa"/>
            <w:tcBorders>
              <w:top w:val="single" w:sz="6" w:space="0" w:color="000000"/>
              <w:start w:val="single" w:sz="6" w:space="0" w:color="000000"/>
              <w:bottom w:val="single" w:sz="6" w:space="0" w:color="000000"/>
              <w:end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 xml:space="preserve">Широта дискреционных полномочий  </w:t>
            </w:r>
          </w:p>
        </w:tc>
        <w:tc>
          <w:tcPr>
            <w:tcW w:w="3600" w:type="dxa"/>
            <w:tcBorders>
              <w:top w:val="single" w:sz="6" w:space="0" w:color="000000"/>
              <w:start w:val="single" w:sz="6" w:space="0" w:color="000000"/>
              <w:bottom w:val="single" w:sz="6" w:space="0" w:color="000000"/>
              <w:end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r>
          </w:p>
        </w:tc>
      </w:tr>
      <w:tr>
        <w:trPr>
          <w:trHeight w:val="360" w:hRule="atLeast"/>
          <w:cantSplit w:val="true"/>
        </w:trPr>
        <w:tc>
          <w:tcPr>
            <w:tcW w:w="540" w:type="dxa"/>
            <w:tcBorders>
              <w:top w:val="single" w:sz="6" w:space="0" w:color="000000"/>
              <w:start w:val="single" w:sz="6" w:space="0" w:color="000000"/>
              <w:bottom w:val="single" w:sz="6" w:space="0" w:color="000000"/>
              <w:end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2</w:t>
            </w:r>
          </w:p>
        </w:tc>
        <w:tc>
          <w:tcPr>
            <w:tcW w:w="5220" w:type="dxa"/>
            <w:tcBorders>
              <w:top w:val="single" w:sz="6" w:space="0" w:color="000000"/>
              <w:start w:val="single" w:sz="6" w:space="0" w:color="000000"/>
              <w:bottom w:val="single" w:sz="6" w:space="0" w:color="000000"/>
              <w:end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 xml:space="preserve">Определение компетенции по формуле «вправе»                 </w:t>
            </w:r>
          </w:p>
        </w:tc>
        <w:tc>
          <w:tcPr>
            <w:tcW w:w="3600" w:type="dxa"/>
            <w:tcBorders>
              <w:top w:val="single" w:sz="6" w:space="0" w:color="000000"/>
              <w:start w:val="single" w:sz="6" w:space="0" w:color="000000"/>
              <w:bottom w:val="single" w:sz="6" w:space="0" w:color="000000"/>
              <w:end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r>
          </w:p>
        </w:tc>
      </w:tr>
      <w:tr>
        <w:trPr>
          <w:trHeight w:val="120" w:hRule="atLeast"/>
          <w:cantSplit w:val="true"/>
        </w:trPr>
        <w:tc>
          <w:tcPr>
            <w:tcW w:w="540" w:type="dxa"/>
            <w:tcBorders>
              <w:top w:val="single" w:sz="6" w:space="0" w:color="000000"/>
              <w:start w:val="single" w:sz="6" w:space="0" w:color="000000"/>
              <w:bottom w:val="single" w:sz="6" w:space="0" w:color="000000"/>
              <w:end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3</w:t>
            </w:r>
          </w:p>
        </w:tc>
        <w:tc>
          <w:tcPr>
            <w:tcW w:w="5220" w:type="dxa"/>
            <w:tcBorders>
              <w:top w:val="single" w:sz="6" w:space="0" w:color="000000"/>
              <w:start w:val="single" w:sz="6" w:space="0" w:color="000000"/>
              <w:bottom w:val="single" w:sz="6" w:space="0" w:color="000000"/>
              <w:end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Выборочное изменение объема прав</w:t>
            </w:r>
          </w:p>
        </w:tc>
        <w:tc>
          <w:tcPr>
            <w:tcW w:w="3600" w:type="dxa"/>
            <w:tcBorders>
              <w:top w:val="single" w:sz="6" w:space="0" w:color="000000"/>
              <w:start w:val="single" w:sz="6" w:space="0" w:color="000000"/>
              <w:bottom w:val="single" w:sz="6" w:space="0" w:color="000000"/>
              <w:end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r>
          </w:p>
        </w:tc>
      </w:tr>
      <w:tr>
        <w:trPr>
          <w:trHeight w:val="240" w:hRule="atLeast"/>
          <w:cantSplit w:val="true"/>
        </w:trPr>
        <w:tc>
          <w:tcPr>
            <w:tcW w:w="540" w:type="dxa"/>
            <w:tcBorders>
              <w:top w:val="single" w:sz="6" w:space="0" w:color="000000"/>
              <w:start w:val="single" w:sz="6" w:space="0" w:color="000000"/>
              <w:bottom w:val="single" w:sz="6" w:space="0" w:color="000000"/>
              <w:end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4</w:t>
            </w:r>
          </w:p>
        </w:tc>
        <w:tc>
          <w:tcPr>
            <w:tcW w:w="5220" w:type="dxa"/>
            <w:tcBorders>
              <w:top w:val="single" w:sz="6" w:space="0" w:color="000000"/>
              <w:start w:val="single" w:sz="6" w:space="0" w:color="000000"/>
              <w:bottom w:val="single" w:sz="6" w:space="0" w:color="000000"/>
              <w:end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 xml:space="preserve">Чрезмерная свобода подзаконного нормотворчества                     </w:t>
            </w:r>
          </w:p>
        </w:tc>
        <w:tc>
          <w:tcPr>
            <w:tcW w:w="3600" w:type="dxa"/>
            <w:tcBorders>
              <w:top w:val="single" w:sz="6" w:space="0" w:color="000000"/>
              <w:start w:val="single" w:sz="6" w:space="0" w:color="000000"/>
              <w:bottom w:val="single" w:sz="6" w:space="0" w:color="000000"/>
              <w:end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r>
          </w:p>
        </w:tc>
      </w:tr>
      <w:tr>
        <w:trPr>
          <w:trHeight w:val="240" w:hRule="atLeast"/>
          <w:cantSplit w:val="true"/>
        </w:trPr>
        <w:tc>
          <w:tcPr>
            <w:tcW w:w="540" w:type="dxa"/>
            <w:tcBorders>
              <w:top w:val="single" w:sz="6" w:space="0" w:color="000000"/>
              <w:start w:val="single" w:sz="6" w:space="0" w:color="000000"/>
              <w:bottom w:val="single" w:sz="6" w:space="0" w:color="000000"/>
              <w:end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5</w:t>
            </w:r>
          </w:p>
        </w:tc>
        <w:tc>
          <w:tcPr>
            <w:tcW w:w="5220" w:type="dxa"/>
            <w:tcBorders>
              <w:top w:val="single" w:sz="6" w:space="0" w:color="000000"/>
              <w:start w:val="single" w:sz="6" w:space="0" w:color="000000"/>
              <w:bottom w:val="single" w:sz="6" w:space="0" w:color="000000"/>
              <w:end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Принятие нормативного правового акта за пределами компетенции</w:t>
            </w:r>
          </w:p>
        </w:tc>
        <w:tc>
          <w:tcPr>
            <w:tcW w:w="3600" w:type="dxa"/>
            <w:tcBorders>
              <w:top w:val="single" w:sz="6" w:space="0" w:color="000000"/>
              <w:start w:val="single" w:sz="6" w:space="0" w:color="000000"/>
              <w:bottom w:val="single" w:sz="6" w:space="0" w:color="000000"/>
              <w:end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r>
          </w:p>
        </w:tc>
      </w:tr>
      <w:tr>
        <w:trPr>
          <w:trHeight w:val="360" w:hRule="atLeast"/>
          <w:cantSplit w:val="true"/>
        </w:trPr>
        <w:tc>
          <w:tcPr>
            <w:tcW w:w="540" w:type="dxa"/>
            <w:tcBorders>
              <w:top w:val="single" w:sz="6" w:space="0" w:color="000000"/>
              <w:start w:val="single" w:sz="6" w:space="0" w:color="000000"/>
              <w:bottom w:val="single" w:sz="6" w:space="0" w:color="000000"/>
              <w:end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6</w:t>
            </w:r>
          </w:p>
        </w:tc>
        <w:tc>
          <w:tcPr>
            <w:tcW w:w="5220" w:type="dxa"/>
            <w:tcBorders>
              <w:top w:val="single" w:sz="6" w:space="0" w:color="000000"/>
              <w:start w:val="single" w:sz="6" w:space="0" w:color="000000"/>
              <w:bottom w:val="single" w:sz="6" w:space="0" w:color="000000"/>
              <w:end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 xml:space="preserve">9. Заполнение законодательных       </w:t>
              <w:br/>
              <w:t xml:space="preserve">пробелов при помощи нормативных правовых актов органа местного самоуправления  в отсутствии законодательной делегации соответствующих полномочий           </w:t>
            </w:r>
          </w:p>
        </w:tc>
        <w:tc>
          <w:tcPr>
            <w:tcW w:w="3600" w:type="dxa"/>
            <w:tcBorders>
              <w:top w:val="single" w:sz="6" w:space="0" w:color="000000"/>
              <w:start w:val="single" w:sz="6" w:space="0" w:color="000000"/>
              <w:bottom w:val="single" w:sz="6" w:space="0" w:color="000000"/>
              <w:end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r>
          </w:p>
        </w:tc>
      </w:tr>
      <w:tr>
        <w:trPr>
          <w:trHeight w:val="360" w:hRule="atLeast"/>
          <w:cantSplit w:val="true"/>
        </w:trPr>
        <w:tc>
          <w:tcPr>
            <w:tcW w:w="540" w:type="dxa"/>
            <w:tcBorders>
              <w:top w:val="single" w:sz="6" w:space="0" w:color="000000"/>
              <w:start w:val="single" w:sz="6" w:space="0" w:color="000000"/>
              <w:bottom w:val="single" w:sz="6" w:space="0" w:color="000000"/>
              <w:end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7</w:t>
            </w:r>
          </w:p>
        </w:tc>
        <w:tc>
          <w:tcPr>
            <w:tcW w:w="5220" w:type="dxa"/>
            <w:tcBorders>
              <w:top w:val="single" w:sz="6" w:space="0" w:color="000000"/>
              <w:start w:val="single" w:sz="6" w:space="0" w:color="000000"/>
              <w:bottom w:val="single" w:sz="6" w:space="0" w:color="000000"/>
              <w:end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 xml:space="preserve">Отсутствие или неполнота административных процедур                            </w:t>
            </w:r>
          </w:p>
        </w:tc>
        <w:tc>
          <w:tcPr>
            <w:tcW w:w="3600" w:type="dxa"/>
            <w:tcBorders>
              <w:top w:val="single" w:sz="6" w:space="0" w:color="000000"/>
              <w:start w:val="single" w:sz="6" w:space="0" w:color="000000"/>
              <w:bottom w:val="single" w:sz="6" w:space="0" w:color="000000"/>
              <w:end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r>
          </w:p>
        </w:tc>
      </w:tr>
      <w:tr>
        <w:trPr>
          <w:trHeight w:val="360" w:hRule="atLeast"/>
          <w:cantSplit w:val="true"/>
        </w:trPr>
        <w:tc>
          <w:tcPr>
            <w:tcW w:w="540" w:type="dxa"/>
            <w:tcBorders>
              <w:top w:val="single" w:sz="6" w:space="0" w:color="000000"/>
              <w:start w:val="single" w:sz="6" w:space="0" w:color="000000"/>
              <w:bottom w:val="single" w:sz="6" w:space="0" w:color="000000"/>
              <w:end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8</w:t>
            </w:r>
          </w:p>
        </w:tc>
        <w:tc>
          <w:tcPr>
            <w:tcW w:w="5220" w:type="dxa"/>
            <w:tcBorders>
              <w:top w:val="single" w:sz="6" w:space="0" w:color="000000"/>
              <w:start w:val="single" w:sz="6" w:space="0" w:color="000000"/>
              <w:bottom w:val="single" w:sz="6" w:space="0" w:color="000000"/>
              <w:end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Отказ от конкурсных (аукционных) процедур</w:t>
            </w:r>
          </w:p>
        </w:tc>
        <w:tc>
          <w:tcPr>
            <w:tcW w:w="3600" w:type="dxa"/>
            <w:tcBorders>
              <w:top w:val="single" w:sz="6" w:space="0" w:color="000000"/>
              <w:start w:val="single" w:sz="6" w:space="0" w:color="000000"/>
              <w:bottom w:val="single" w:sz="6" w:space="0" w:color="000000"/>
              <w:end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r>
          </w:p>
        </w:tc>
      </w:tr>
      <w:tr>
        <w:trPr>
          <w:trHeight w:val="480" w:hRule="atLeast"/>
          <w:cantSplit w:val="true"/>
        </w:trPr>
        <w:tc>
          <w:tcPr>
            <w:tcW w:w="540" w:type="dxa"/>
            <w:tcBorders>
              <w:top w:val="single" w:sz="6" w:space="0" w:color="000000"/>
              <w:start w:val="single" w:sz="6" w:space="0" w:color="000000"/>
              <w:bottom w:val="single" w:sz="6" w:space="0" w:color="000000"/>
              <w:end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9</w:t>
            </w:r>
          </w:p>
        </w:tc>
        <w:tc>
          <w:tcPr>
            <w:tcW w:w="5220" w:type="dxa"/>
            <w:tcBorders>
              <w:top w:val="single" w:sz="6" w:space="0" w:color="000000"/>
              <w:start w:val="single" w:sz="6" w:space="0" w:color="000000"/>
              <w:bottom w:val="single" w:sz="6" w:space="0" w:color="000000"/>
              <w:end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Наличие завышенных требований к лицу, предъявляемых для реализации принадлежащего ему права</w:t>
            </w:r>
          </w:p>
        </w:tc>
        <w:tc>
          <w:tcPr>
            <w:tcW w:w="3600" w:type="dxa"/>
            <w:tcBorders>
              <w:top w:val="single" w:sz="6" w:space="0" w:color="000000"/>
              <w:start w:val="single" w:sz="6" w:space="0" w:color="000000"/>
              <w:bottom w:val="single" w:sz="6" w:space="0" w:color="000000"/>
              <w:end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r>
          </w:p>
        </w:tc>
      </w:tr>
      <w:tr>
        <w:trPr>
          <w:trHeight w:val="240" w:hRule="atLeast"/>
          <w:cantSplit w:val="true"/>
        </w:trPr>
        <w:tc>
          <w:tcPr>
            <w:tcW w:w="540" w:type="dxa"/>
            <w:tcBorders>
              <w:top w:val="single" w:sz="6" w:space="0" w:color="000000"/>
              <w:start w:val="single" w:sz="6" w:space="0" w:color="000000"/>
              <w:bottom w:val="single" w:sz="6" w:space="0" w:color="000000"/>
              <w:end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10</w:t>
            </w:r>
          </w:p>
        </w:tc>
        <w:tc>
          <w:tcPr>
            <w:tcW w:w="5220" w:type="dxa"/>
            <w:tcBorders>
              <w:top w:val="single" w:sz="6" w:space="0" w:color="000000"/>
              <w:start w:val="single" w:sz="6" w:space="0" w:color="000000"/>
              <w:bottom w:val="single" w:sz="6" w:space="0" w:color="000000"/>
              <w:end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Злоупотребление правом заявителя органами местного самоуправления (должностными лицами)</w:t>
            </w:r>
          </w:p>
        </w:tc>
        <w:tc>
          <w:tcPr>
            <w:tcW w:w="3600" w:type="dxa"/>
            <w:tcBorders>
              <w:top w:val="single" w:sz="6" w:space="0" w:color="000000"/>
              <w:start w:val="single" w:sz="6" w:space="0" w:color="000000"/>
              <w:bottom w:val="single" w:sz="6" w:space="0" w:color="000000"/>
              <w:end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r>
          </w:p>
        </w:tc>
      </w:tr>
      <w:tr>
        <w:trPr>
          <w:trHeight w:val="360" w:hRule="atLeast"/>
          <w:cantSplit w:val="true"/>
        </w:trPr>
        <w:tc>
          <w:tcPr>
            <w:tcW w:w="540" w:type="dxa"/>
            <w:tcBorders>
              <w:top w:val="single" w:sz="6" w:space="0" w:color="000000"/>
              <w:start w:val="single" w:sz="6" w:space="0" w:color="000000"/>
              <w:bottom w:val="single" w:sz="6" w:space="0" w:color="000000"/>
              <w:end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11</w:t>
            </w:r>
          </w:p>
        </w:tc>
        <w:tc>
          <w:tcPr>
            <w:tcW w:w="5220" w:type="dxa"/>
            <w:tcBorders>
              <w:top w:val="single" w:sz="6" w:space="0" w:color="000000"/>
              <w:start w:val="single" w:sz="6" w:space="0" w:color="000000"/>
              <w:bottom w:val="single" w:sz="6" w:space="0" w:color="000000"/>
              <w:end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Юридико-лингвистическая неопределенность</w:t>
            </w:r>
          </w:p>
        </w:tc>
        <w:tc>
          <w:tcPr>
            <w:tcW w:w="3600" w:type="dxa"/>
            <w:tcBorders>
              <w:top w:val="single" w:sz="6" w:space="0" w:color="000000"/>
              <w:start w:val="single" w:sz="6" w:space="0" w:color="000000"/>
              <w:bottom w:val="single" w:sz="6" w:space="0" w:color="000000"/>
              <w:end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r>
          </w:p>
        </w:tc>
      </w:tr>
    </w:tbl>
    <w:p>
      <w:pPr>
        <w:pStyle w:val="ConsPlusNormal"/>
        <w:ind w:hanging="0"/>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Вывод: 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hd w:val="clear" w:color="auto" w:fill="FFFFFF"/>
        <w:tabs>
          <w:tab w:val="clear" w:pos="709"/>
          <w:tab w:val="left" w:pos="598" w:leader="underscore"/>
          <w:tab w:val="left" w:pos="2189" w:leader="none"/>
          <w:tab w:val="left" w:pos="4190" w:leader="none"/>
          <w:tab w:val="left" w:pos="9720" w:leader="underscore"/>
        </w:tabs>
        <w:bidi w:val="0"/>
        <w:jc w:val="both"/>
        <w:rPr>
          <w:sz w:val="28"/>
          <w:szCs w:val="28"/>
        </w:rPr>
      </w:pPr>
      <w:r>
        <w:rPr/>
        <w:t>«___»______________20___год                               ________________________</w:t>
      </w:r>
    </w:p>
    <w:p>
      <w:pPr>
        <w:pStyle w:val="Normal"/>
        <w:shd w:val="clear" w:color="auto" w:fill="FFFFFF"/>
        <w:tabs>
          <w:tab w:val="clear" w:pos="709"/>
          <w:tab w:val="left" w:pos="598" w:leader="underscore"/>
          <w:tab w:val="left" w:pos="2189" w:leader="none"/>
          <w:tab w:val="left" w:pos="4190" w:leader="none"/>
          <w:tab w:val="left" w:pos="9720" w:leader="underscore"/>
        </w:tabs>
        <w:bidi w:val="0"/>
        <w:jc w:val="center"/>
        <w:rPr>
          <w:b/>
          <w:b/>
          <w:sz w:val="20"/>
          <w:szCs w:val="20"/>
        </w:rPr>
      </w:pPr>
      <w:r>
        <w:rPr>
          <w:sz w:val="20"/>
          <w:szCs w:val="20"/>
        </w:rPr>
        <w:t xml:space="preserve">                                                                      </w:t>
      </w:r>
      <w:r>
        <w:rPr>
          <w:sz w:val="20"/>
          <w:szCs w:val="20"/>
        </w:rPr>
        <w:t>(подпись)</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ans">
    <w:altName w:val="Arial"/>
    <w:charset w:val="cc" w:characterSet="windows-1251"/>
    <w:family w:val="swiss"/>
    <w:pitch w:val="variable"/>
  </w:font>
  <w:font w:name="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Mangal"/>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lang w:val="zxx" w:eastAsia="zxx" w:bidi="zxx"/>
    </w:rPr>
  </w:style>
  <w:style w:type="paragraph" w:styleId="ConsPlusTitle">
    <w:name w:val="ConsPlusTitle"/>
    <w:qFormat/>
    <w:pPr>
      <w:widowControl w:val="false"/>
      <w:suppressAutoHyphens w:val="true"/>
      <w:bidi w:val="0"/>
      <w:spacing w:before="0" w:after="0"/>
      <w:jc w:val="start"/>
    </w:pPr>
    <w:rPr>
      <w:rFonts w:ascii="Arial" w:hAnsi="Arial" w:eastAsia="Times New Roman" w:cs="Arial"/>
      <w:b/>
      <w:bCs/>
      <w:color w:val="auto"/>
      <w:kern w:val="0"/>
      <w:sz w:val="20"/>
      <w:szCs w:val="20"/>
      <w:lang w:val="ru-RU" w:eastAsia="ru-RU" w:bidi="ar-SA"/>
    </w:rPr>
  </w:style>
  <w:style w:type="paragraph" w:styleId="ConsPlusNormal">
    <w:name w:val="ConsPlusNormal"/>
    <w:qFormat/>
    <w:pPr>
      <w:widowControl/>
      <w:suppressAutoHyphens w:val="true"/>
      <w:bidi w:val="0"/>
      <w:spacing w:before="0" w:after="0"/>
      <w:ind w:firstLine="720"/>
      <w:jc w:val="start"/>
    </w:pPr>
    <w:rPr>
      <w:rFonts w:ascii="Arial" w:hAnsi="Arial" w:eastAsia="Times New Roman" w:cs="Arial"/>
      <w:color w:val="auto"/>
      <w:kern w:val="0"/>
      <w:sz w:val="20"/>
      <w:szCs w:val="20"/>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LibreOffice/7.2.2.2$Windows_X86_64 LibreOffice_project/02b2acce88a210515b4a5bb2e46cbfb63fe97d56</Application>
  <AppVersion>15.0000</AppVersion>
  <Pages>7</Pages>
  <Words>2309</Words>
  <Characters>18146</Characters>
  <CharactersWithSpaces>20600</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2022-11-18T09:37:04Z</dcterms:modified>
  <cp:revision>1</cp:revision>
  <dc:subject/>
  <dc:title/>
</cp:coreProperties>
</file>