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ind w:firstLine="56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ConsPlusNormal1"/>
        <w:ind w:firstLine="56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решением Думы </w:t>
      </w:r>
    </w:p>
    <w:p>
      <w:pPr>
        <w:pStyle w:val="ConsPlusNormal1"/>
        <w:ind w:firstLine="56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городского округа</w:t>
      </w:r>
    </w:p>
    <w:p>
      <w:pPr>
        <w:pStyle w:val="ConsPlusNormal1"/>
        <w:ind w:firstLine="56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08.09.2021 года № 58/10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P34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предварительного уведомления представителя нанимателя (работодателя)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выполнении иной оплачиваемой работы муниципальными служащими,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замещающими должности муниципальной службы в органах местного самоуправления городского округа ЗАТО Свободный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Свердловской области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Настоящий Порядок устанавливает процедуру предварительного уведомления представителя нанимателя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(работодателя)</w:t>
      </w:r>
      <w:r>
        <w:rPr>
          <w:rFonts w:cs="Times New Roman" w:ascii="Times New Roman" w:hAnsi="Times New Roman"/>
          <w:sz w:val="24"/>
          <w:szCs w:val="24"/>
        </w:rPr>
        <w:t xml:space="preserve"> о выполнении иной оплачиваемой работы муниципальными служащими, замещающими должности муниципальной службы в органах местного самоупра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 xml:space="preserve">вления городского округа ЗАТО Свободный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Свердловской области</w:t>
      </w:r>
      <w:r>
        <w:rPr>
          <w:rFonts w:cs="Times New Roman" w:ascii="Times New Roman" w:hAnsi="Times New Roman"/>
          <w:sz w:val="24"/>
          <w:szCs w:val="24"/>
        </w:rPr>
        <w:t xml:space="preserve"> (далее - муниципальные служащие), процедуру регистрации уведомлений о предстоящем выполнении иной работы (далее — Уведомление), а также форму уведомления.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Муниципальные служащие направляют У</w:t>
      </w:r>
      <w:hyperlink w:anchor="P84">
        <w:r>
          <w:rPr>
            <w:rFonts w:cs="Times New Roman" w:ascii="Times New Roman" w:hAnsi="Times New Roman"/>
            <w:sz w:val="24"/>
            <w:szCs w:val="24"/>
          </w:rPr>
          <w:t>ведомлени</w:t>
        </w:r>
      </w:hyperlink>
      <w:r>
        <w:rPr>
          <w:rFonts w:cs="Times New Roman" w:ascii="Times New Roman" w:hAnsi="Times New Roman"/>
          <w:sz w:val="24"/>
          <w:szCs w:val="24"/>
        </w:rPr>
        <w:t>я в письменном виде на имя представителя нанимателя (работодателя) по соответствующей форме и заверяют личной подписью с указанием даты оформления Уведомления (Приложение № 1).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Уведомление должно содержать следующую информацию: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предполагаемый график и период выполнения иной оплачиваемой работы;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4) условия оплаты труда (сроки, размер и порядок оплаты);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5) иные сведения, которые муниципальный служащий считает необходимым сообщить.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>
      <w:pPr>
        <w:pStyle w:val="Normal"/>
        <w:spacing w:lineRule="auto" w:line="240" w:before="0" w:after="0"/>
        <w:ind w:firstLine="567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Муниципальные служащие до направления Уведомлений представителю нанимателя (работодателю), направляют Уведомления для ознакомления и согласования: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своему непосредственному руководителю и (или) руководителю структурного подразделения, в котором муниципальный служащий проходит муниципальную службу;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заместителю руководителя органа местного самоуправления, курирующему деятельность структурного подразделения, в котором муниципальный служащий проходит муниципальную службу (при наличии);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заместителю руководителя органа местного самоуправления, курирующему вопросы противодействия коррупции.</w:t>
      </w:r>
    </w:p>
    <w:p>
      <w:pPr>
        <w:pStyle w:val="Normal"/>
        <w:spacing w:lineRule="auto" w:line="240" w:before="0" w:after="0"/>
        <w:ind w:firstLine="567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Только после получения виз согласований вышеперечисленных руководителей муниципальный служащий направляет Уведомление представителю нанимателя (работодателю).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Уведомление с информацией, подтверждающей предусмотренное в пункте 3 настоящего порядка ознакомления/согласование, направляется муниципальным служащим в кадровую службу представителя нанимателя (работодателя) и (или) лицу, ответственному за работу по профилактике коррупционных и иных правонарушений (далее - кадровая служба), не позднее, чем </w:t>
      </w:r>
      <w:r>
        <w:rPr>
          <w:rFonts w:cs="Times New Roman" w:ascii="Times New Roman" w:hAnsi="Times New Roman"/>
          <w:b/>
          <w:bCs/>
          <w:sz w:val="24"/>
          <w:szCs w:val="24"/>
        </w:rPr>
        <w:t>за 15 календарных дней до даты начала выполнения муниципальным служащим иной оплачиваемой работы.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Кадровая служба: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1) осуществляет регистрацию Уведомления в день его поступления </w:t>
      </w:r>
      <w:r>
        <w:rPr>
          <w:rFonts w:cs="Times New Roman" w:ascii="Times New Roman" w:hAnsi="Times New Roman"/>
          <w:sz w:val="24"/>
          <w:szCs w:val="24"/>
        </w:rPr>
        <w:t>в Журнале регистрации Уведомлений о предстоящем выполнении иной оплачиваемой работы (далее - Журнал) по форме согласно Приложению № 2 к настоящему Порядку. Копия зарегистрированного Уведомления выдается муниципальному служащему на руки под роспись в Журнале регистрации либо направляется по почте с уведомлением о получении;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2) лицо, в чьи обязанности входят вопросы противодействия коррупции, изучает представленную в Уведомлении информацию и материалы к нему, и по результатам предварительного рассмотрения </w:t>
      </w:r>
      <w:r>
        <w:rPr>
          <w:rFonts w:cs="Times New Roman" w:ascii="Times New Roman" w:hAnsi="Times New Roman"/>
          <w:b/>
          <w:bCs/>
          <w:sz w:val="24"/>
          <w:szCs w:val="24"/>
        </w:rPr>
        <w:t>готовит мотивированное заключение,</w:t>
      </w:r>
      <w:r>
        <w:rPr>
          <w:rFonts w:cs="Times New Roman" w:ascii="Times New Roman" w:hAnsi="Times New Roman"/>
          <w:sz w:val="24"/>
          <w:szCs w:val="24"/>
        </w:rPr>
        <w:t xml:space="preserve"> которое должно содержать мотивированный вывод об установлении факта наличия либо отсутствия конфликта интересов при выполнении муниципальным служащим планируемой работы. Мотивированное заключение передается представителю нанимателя (работодателю).</w:t>
      </w:r>
    </w:p>
    <w:p>
      <w:pPr>
        <w:pStyle w:val="Normal"/>
        <w:spacing w:lineRule="auto" w:line="240" w:before="0" w:after="0"/>
        <w:ind w:firstLine="567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3) направляет Уведомление в течение трех дней представителю нанимателя (работодателю).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Муниципальные служащие, поступившие на муниципальную службу и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в порядке, предусмотренном в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пунктах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 В каждом случае предполагаемых изменений сведений, указанных в части второй пункта 2 настоящего Порядка, требуется направление нового Уведомления.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8. Журнал хранится в кадровой службе в течение трех лет с момента регистрации в нем последнего Уведомления. После истечения указанного срока Журнал уничтожается</w:t>
        <w:br/>
        <w:t>с составлением соответствующего акта.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9. Уведомление, со дня окончания муниципальным служащим иной оплачиваемой работы или увольнения муниципального служащего с муниципальной службы, хранится в кадровой службе в течение трех лет, после чего подлежит уничтожению в установленном законом порядке.</w:t>
      </w:r>
      <w:r>
        <w:br w:type="page"/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Порядку предварительного уведомления </w:t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представителя нанимателя (работодателя)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намерении выполнять иную оплачиваемую работу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муниципальными служащими, замещающими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должности муниципальной службы в органах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местного самоуправления городского округа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ЗАТО Свободный Свердловской области</w:t>
      </w:r>
    </w:p>
    <w:p>
      <w:pPr>
        <w:pStyle w:val="ConsPlusNormal1"/>
        <w:rPr>
          <w:rFonts w:ascii="Times New Roman" w:hAnsi="Times New Roman" w:cs="Times New Roman"/>
          <w:sz w:val="24"/>
          <w:szCs w:val="24"/>
        </w:rPr>
      </w:pPr>
      <w:hyperlink r:id="rId4">
        <w:r>
          <w:rPr>
            <w:rFonts w:cs="Times New Roman" w:ascii="Times New Roman" w:hAnsi="Times New Roman"/>
            <w:sz w:val="24"/>
            <w:szCs w:val="24"/>
          </w:rPr>
          <w:t>Форма</w:t>
        </w:r>
      </w:hyperlink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Представителю нанимателя (работодателю)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hyperlink r:id="rId5">
        <w:r>
          <w:rPr>
            <w:rFonts w:cs="Times New Roman" w:ascii="Times New Roman" w:hAnsi="Times New Roman"/>
            <w:sz w:val="24"/>
            <w:szCs w:val="24"/>
          </w:rPr>
          <w:t xml:space="preserve">                            </w:t>
        </w:r>
        <w:r>
          <w:rPr>
            <w:rFonts w:cs="Times New Roman" w:ascii="Times New Roman" w:hAnsi="Times New Roman"/>
            <w:sz w:val="24"/>
            <w:szCs w:val="24"/>
          </w:rPr>
          <w:t>_______________________________________________</w:t>
        </w:r>
      </w:hyperlink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hyperlink r:id="rId6">
        <w:r>
          <w:rPr>
            <w:rFonts w:cs="Times New Roman" w:ascii="Times New Roman" w:hAnsi="Times New Roman"/>
            <w:sz w:val="24"/>
            <w:szCs w:val="24"/>
          </w:rPr>
          <w:t xml:space="preserve">                            </w:t>
        </w:r>
        <w:r>
          <w:rPr>
            <w:rFonts w:cs="Times New Roman" w:ascii="Times New Roman" w:hAnsi="Times New Roman"/>
            <w:sz w:val="24"/>
            <w:szCs w:val="24"/>
          </w:rPr>
          <w:t>от ____________________________________________</w:t>
        </w:r>
      </w:hyperlink>
    </w:p>
    <w:p>
      <w:pPr>
        <w:pStyle w:val="ConsPlusNonformat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(фамилия, инициалы муниципального служащего,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hyperlink r:id="rId7">
        <w:r>
          <w:rPr>
            <w:rFonts w:cs="Times New Roman" w:ascii="Times New Roman" w:hAnsi="Times New Roman"/>
            <w:sz w:val="24"/>
            <w:szCs w:val="24"/>
          </w:rPr>
          <w:t xml:space="preserve">                            </w:t>
        </w:r>
        <w:r>
          <w:rPr>
            <w:rFonts w:cs="Times New Roman" w:ascii="Times New Roman" w:hAnsi="Times New Roman"/>
            <w:sz w:val="24"/>
            <w:szCs w:val="24"/>
          </w:rPr>
          <w:t>_______________________________________________</w:t>
        </w:r>
      </w:hyperlink>
    </w:p>
    <w:p>
      <w:pPr>
        <w:pStyle w:val="ConsPlusNonformat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наименование должности с указанием органа местного самоуправления)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предстоящем выполнении иной оплачиваемой работы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соответствии с пунктом 2 статьи 11 Федерального закона от 02.03.2007 № 25-ФЗ</w:t>
        <w:br/>
        <w:t>«О муниципальной службе в Российской Федерации» уведомляю о предстоящем выполнении мною иной оплачиваемой работы с «_____» _______________20____ года: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</w:t>
      </w:r>
      <w:hyperlink r:id="rId8">
        <w:r>
          <w:rPr>
            <w:rFonts w:cs="Times New Roman" w:ascii="Times New Roman" w:hAnsi="Times New Roman"/>
            <w:sz w:val="24"/>
            <w:szCs w:val="24"/>
          </w:rPr>
          <w:t>___________________________________________________________________________________</w:t>
        </w:r>
      </w:hyperlink>
    </w:p>
    <w:p>
      <w:pPr>
        <w:pStyle w:val="ConsPlusNonformat"/>
        <w:jc w:val="center"/>
        <w:rPr/>
      </w:pPr>
      <w:hyperlink r:id="rId9">
        <w:r>
          <w:rPr>
            <w:rFonts w:cs="Times New Roman" w:ascii="Times New Roman" w:hAnsi="Times New Roman"/>
            <w:sz w:val="20"/>
            <w:szCs w:val="20"/>
          </w:rPr>
          <w:t>(должность)</w:t>
        </w:r>
      </w:hyperlink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(наименование и место нахождения работодателя (заказчика))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/>
      </w:pPr>
      <w:hyperlink r:id="rId10">
        <w:r>
          <w:rPr>
            <w:rFonts w:cs="Times New Roman" w:ascii="Times New Roman" w:hAnsi="Times New Roman"/>
            <w:sz w:val="20"/>
            <w:szCs w:val="20"/>
          </w:rPr>
          <w:t>(должность, обязанности по трудовому договору, обязанности гражданско-правовому договору)</w:t>
        </w:r>
      </w:hyperlink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11">
        <w:r>
          <w:rPr>
            <w:rFonts w:cs="Times New Roman" w:ascii="Times New Roman" w:hAnsi="Times New Roman"/>
            <w:sz w:val="24"/>
            <w:szCs w:val="24"/>
          </w:rPr>
          <w:t>_____________________________________________________________________________________</w:t>
        </w:r>
      </w:hyperlink>
    </w:p>
    <w:p>
      <w:pPr>
        <w:pStyle w:val="ConsPlusNonformat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(тематика выполняемой работы, в том числе наименование предмета преподавания, темы лекций, научно-исследовательской работы)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__________________________________________________________________________________</w:t>
      </w:r>
    </w:p>
    <w:p>
      <w:pPr>
        <w:pStyle w:val="ConsPlusNonformat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(трудовому договору или гражданско-правовому договору, вид договора)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(предполагаемый график и период выполнения иной оплачиваемой работы)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/>
      </w:pPr>
      <w:hyperlink r:id="rId12">
        <w:r>
          <w:rPr>
            <w:rFonts w:cs="Times New Roman" w:ascii="Times New Roman" w:hAnsi="Times New Roman"/>
            <w:sz w:val="20"/>
            <w:szCs w:val="20"/>
          </w:rPr>
          <w:t>(условия оплаты труда (сроки, размер и порядок оплаты))</w:t>
        </w:r>
      </w:hyperlink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/>
      </w:pPr>
      <w:hyperlink r:id="rId13">
        <w:r>
          <w:rPr>
            <w:rFonts w:cs="Times New Roman" w:ascii="Times New Roman" w:hAnsi="Times New Roman"/>
            <w:sz w:val="20"/>
            <w:szCs w:val="20"/>
          </w:rPr>
          <w:t>(иные сведения, которые муниципальный служащий считает необходимым сообщить)</w:t>
        </w:r>
      </w:hyperlink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указанной работы не повлечет за собой конфликт интересов.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выполнении указанной работы обязуюсь не нарушать запреты и соблюдать требования к служебному поведению муниципального служащего, установленные статьями 14 и 14.2 Федерального закона от 02 марта 2007 года № 25-ФЗ «О муниципальной службе в Российской Федерации».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14">
        <w:r>
          <w:rPr>
            <w:rFonts w:cs="Times New Roman" w:ascii="Times New Roman" w:hAnsi="Times New Roman"/>
            <w:sz w:val="24"/>
            <w:szCs w:val="24"/>
          </w:rPr>
          <w:t>«_____» __________ 20___ г.                         ________________      _________________________</w:t>
        </w:r>
      </w:hyperlink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    </w:t>
        <w:tab/>
        <w:t xml:space="preserve">(подпись)    </w:t>
        <w:tab/>
        <w:tab/>
        <w:t xml:space="preserve">     (расшифровка подписи)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sz w:val="24"/>
          <w:szCs w:val="24"/>
        </w:rPr>
      </w:pPr>
      <w:hyperlink r:id="rId15">
        <w:r>
          <w:rPr>
            <w:rFonts w:cs="Times New Roman" w:ascii="Times New Roman" w:hAnsi="Times New Roman"/>
            <w:sz w:val="24"/>
            <w:szCs w:val="24"/>
          </w:rPr>
          <w:t>Приложение:</w:t>
          <w:tab/>
          <w:t>1)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2)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3)</w:t>
      </w:r>
      <w:r>
        <w:br w:type="page"/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№2</w:t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Порядку предварительного уведомления </w:t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представителя нанимателя (работодателя)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намерении выполнять иную оплачиваемую работу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муниципальными служащими, замещающими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должности муниципальной службы в органах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местного самоуправления городского округа </w:t>
      </w:r>
    </w:p>
    <w:p>
      <w:pPr>
        <w:pStyle w:val="ConsPlusNormal1"/>
        <w:numPr>
          <w:ilvl w:val="0"/>
          <w:numId w:val="0"/>
        </w:numPr>
        <w:ind w:left="0"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ЗАТО Свободный Свердловской области</w:t>
      </w:r>
    </w:p>
    <w:p>
      <w:pPr>
        <w:pStyle w:val="ConsPlusNormal1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hyperlink r:id="rId16">
        <w:r>
          <w:rPr>
            <w:rFonts w:cs="Times New Roman" w:ascii="Times New Roman" w:hAnsi="Times New Roman"/>
            <w:sz w:val="24"/>
            <w:szCs w:val="24"/>
          </w:rPr>
          <w:t>Форма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ЖУРНАЛ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7">
        <w:r>
          <w:rPr>
            <w:rFonts w:cs="Times New Roman" w:ascii="Times New Roman" w:hAnsi="Times New Roman"/>
            <w:b/>
            <w:bCs/>
            <w:sz w:val="24"/>
            <w:szCs w:val="24"/>
          </w:rPr>
          <w:t>регистрации уведомлений о предстоящем выполнении иной оплачиваемой работы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8">
        <w:r>
          <w:rPr>
            <w:rFonts w:cs="Times New Roman" w:ascii="Times New Roman" w:hAnsi="Times New Roman"/>
            <w:sz w:val="24"/>
            <w:szCs w:val="24"/>
          </w:rPr>
          <w:t>в _________________________________________________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9">
        <w:r>
          <w:rPr>
            <w:rFonts w:cs="Times New Roman" w:ascii="Times New Roman" w:hAnsi="Times New Roman"/>
            <w:sz w:val="24"/>
            <w:szCs w:val="24"/>
          </w:rPr>
          <w:t>(наименование органа местного самоуправления)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00" w:type="dxa"/>
        <w:jc w:val="left"/>
        <w:tblInd w:w="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2"/>
        <w:gridCol w:w="2054"/>
        <w:gridCol w:w="1749"/>
        <w:gridCol w:w="1992"/>
        <w:gridCol w:w="1648"/>
        <w:gridCol w:w="2084"/>
      </w:tblGrid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 регистрации и регистрационный номер Уведомления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Ф.И.О. лица, направившего Уведомление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Ф.И.О. и подпись лица, зарегистрировавшего Уведомление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Отметка и дата получения копии Уведомления муниципальным служащими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cs="Times New Roman" w:ascii="Times New Roman" w:hAnsi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cs="Times New Roman" w:ascii="Times New Roman" w:hAnsi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cs="Times New Roman" w:ascii="Times New Roman" w:hAnsi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cs="Times New Roman" w:ascii="Times New Roman" w:hAnsi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cs="Times New Roman" w:ascii="Times New Roman" w:hAnsi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cs="Times New Roman" w:ascii="Times New Roman" w:hAnsi="Times New Roman"/>
                  <w:sz w:val="24"/>
                  <w:szCs w:val="24"/>
                </w:rPr>
                <w:t>1.</w:t>
              </w:r>
            </w:hyperlink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cs="Times New Roman" w:ascii="Times New Roman" w:hAnsi="Times New Roman"/>
                  <w:sz w:val="24"/>
                  <w:szCs w:val="24"/>
                </w:rPr>
                <w:t>...</w:t>
              </w:r>
            </w:hyperlink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18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8">
    <w:name w:val="Heading 8"/>
    <w:basedOn w:val="Normal"/>
    <w:next w:val="Normal"/>
    <w:link w:val="80"/>
    <w:uiPriority w:val="99"/>
    <w:qFormat/>
    <w:rsid w:val="00351894"/>
    <w:pPr>
      <w:keepNext w:val="true"/>
      <w:spacing w:lineRule="auto" w:line="240" w:before="0" w:after="0"/>
      <w:jc w:val="center"/>
      <w:outlineLvl w:val="7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51894"/>
    <w:rPr>
      <w:b/>
      <w:bCs/>
    </w:rPr>
  </w:style>
  <w:style w:type="character" w:styleId="ConsPlusNormal" w:customStyle="1">
    <w:name w:val="ConsPlusNormal Знак"/>
    <w:link w:val="ConsPlusNormal"/>
    <w:uiPriority w:val="99"/>
    <w:qFormat/>
    <w:locked/>
    <w:rsid w:val="00063384"/>
    <w:rPr>
      <w:sz w:val="22"/>
      <w:szCs w:val="22"/>
      <w:lang w:eastAsia="ru-RU"/>
    </w:rPr>
  </w:style>
  <w:style w:type="character" w:styleId="Style13" w:customStyle="1">
    <w:name w:val="Интернет-ссылка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uiPriority w:val="99"/>
    <w:qFormat/>
    <w:rsid w:val="000c77c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0c77c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0c77c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0c77cd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55D62C2788E7578F9719327A414F8374F3D9ED12D032CFDAF2FDBF746ADCDE2D4DE4E4F3A2745770609495BB62CD54E1B7667B51526D6E260238D1DZ0s9I" TargetMode="External"/><Relationship Id="rId3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4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5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6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7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8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9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0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1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2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3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4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5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6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7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8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9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20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21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22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23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24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25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26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LibreOffice/7.0.3.1$Windows_X86_64 LibreOffice_project/d7547858d014d4cf69878db179d326fc3483e082</Application>
  <Pages>4</Pages>
  <Words>912</Words>
  <Characters>7718</Characters>
  <CharactersWithSpaces>8738</CharactersWithSpaces>
  <Paragraphs>101</Paragraphs>
  <Company>КонсультантПлюс Версия 4021.00.29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2021-08-23T13:44:00Z</dcterms:created>
  <dc:creator>User</dc:creator>
  <dc:description/>
  <dc:language>ru-RU</dc:language>
  <cp:lastModifiedBy/>
  <cp:lastPrinted>2021-09-28T08:23:27Z</cp:lastPrinted>
  <dcterms:modified xsi:type="dcterms:W3CDTF">2021-10-01T14:47:32Z</dcterms:modified>
  <cp:revision>30</cp:revision>
  <dc:subject/>
  <dc:title>Указ Губернатора Свердловской области от 17.02.2020 N 55-УГ(ред. от 19.01.2021)"О некоторых вопросах организации деятельности по профилактике коррупционных правонарушений"(вместе с "Порядком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области", "Порядком получения разрешения представителя нанимателя на участие на безвозмездной основе в управлении некоммерческой организацией отдельными государст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4021.00.29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