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953"/>
        <w:jc w:val="left"/>
        <w:rPr/>
      </w:pPr>
      <w:r>
        <w:rPr>
          <w:rFonts w:ascii="Liberation Serif" w:hAnsi="Liberation Serif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953"/>
        <w:jc w:val="left"/>
        <w:rPr/>
      </w:pPr>
      <w:r>
        <w:rPr>
          <w:rFonts w:ascii="Liberation Serif" w:hAnsi="Liberation Serif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953"/>
        <w:jc w:val="left"/>
        <w:rPr/>
      </w:pP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953"/>
        <w:jc w:val="left"/>
        <w:rPr/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 19 » декабря 2022 года № 191</w:t>
      </w:r>
    </w:p>
    <w:p>
      <w:pPr>
        <w:pStyle w:val="Normal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ПЛАН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работы по антикоррупционному просвещению с работниками администрации городского округа ЗАТО Свободный на 2023-2024 годы</w:t>
      </w:r>
    </w:p>
    <w:p>
      <w:pPr>
        <w:pStyle w:val="Normal"/>
        <w:ind w:left="-567" w:firstLine="56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tbl>
      <w:tblPr>
        <w:tblStyle w:val="a6"/>
        <w:tblW w:w="990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5051"/>
        <w:gridCol w:w="1639"/>
        <w:gridCol w:w="2504"/>
      </w:tblGrid>
      <w:tr>
        <w:trPr/>
        <w:tc>
          <w:tcPr>
            <w:tcW w:w="70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163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Срок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реализации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Ответственный</w:t>
            </w:r>
          </w:p>
        </w:tc>
      </w:tr>
      <w:tr>
        <w:trPr>
          <w:trHeight w:val="1622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05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Ознакомление вновь принятых работников с нормативными правовыми актами, принятыми органами местного самоуправления в сфере противодействия коррупции.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в течение 2-х недель с момента поступления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05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Ознакомление работников с актуальными изменениями нормативно правовых актов принятых органами местного самоуправления в сфере противодействия коррупции.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 мере необходимости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задолженности и о порядке проверки сведений.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разъяснительной работы по формированию у работников негативного отношения к дарению подарков в связи с их должностным положением или в связи с исполнением ими трудовых (должностных) обязанностей.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подразделения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Доведение до работников положений законодательства Российской Федерации об установлении ответственности за коммерческий подкуп, получение и дачу взятки, увольнение в связи с утратой доверия.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подразделения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Разъяснительные и иные меры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 недопущению работниками поведения, которое может восприниматься окружающими как обещание или предложение дачи взятки либо как согласие принять взятку лиц или как просьба о даче взятки либо как согласие принять взятку или как просьба о даче взятки, с учетом положений актов в области противодействия коррупции.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подразделения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Доведение до работников полиграфической продукции (буклетов, брошюр-памяток и т.п.) по противодействию коррупции.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 мере их издания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505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в установленном порядке мониторинга право применения федеральных, областных и нормативных правовых актов принятых органами местного самоуправления.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подразделения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Предоставление юридической помощи в сфере противодействия коррупции.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подразделения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Разъяснение исполнения требований антикоррупционного законодательства увольняющимся муниципальным служащим, чьи должности входили в перечень коррупционных должностей.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5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type w:val="nextPage"/>
      <w:pgSz w:w="11906" w:h="16838"/>
      <w:pgMar w:left="1276" w:right="70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7e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rsid w:val="00ee27e1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qFormat/>
    <w:rsid w:val="00ee27e1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uiPriority w:val="99"/>
    <w:qFormat/>
    <w:rsid w:val="00ee27e1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ee27e1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qFormat/>
    <w:rsid w:val="00ee27e1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qFormat/>
    <w:rsid w:val="00ee27e1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uiPriority w:val="99"/>
    <w:qFormat/>
    <w:rsid w:val="00ee27e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5f7d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5f7d9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e27e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2e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509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5f7d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5f7d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155d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CE3-14AE-41D6-807B-1DB651D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LibreOffice/7.3.7.2$Windows_X86_64 LibreOffice_project/e114eadc50a9ff8d8c8a0567d6da8f454beeb84f</Application>
  <AppVersion>15.0000</AppVersion>
  <DocSecurity>0</DocSecurity>
  <Pages>2</Pages>
  <Words>317</Words>
  <Characters>2353</Characters>
  <CharactersWithSpaces>2614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2019-09-11T11:58:00Z</dcterms:created>
  <dc:creator>Admin</dc:creator>
  <dc:description/>
  <dc:language>ru-RU</dc:language>
  <cp:lastModifiedBy/>
  <cp:lastPrinted>2022-12-20T03:46:00Z</cp:lastPrinted>
  <dcterms:modified xsi:type="dcterms:W3CDTF">2023-03-03T18:53:29Z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