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957EB9" w:rsidRPr="00957EB9" w:rsidRDefault="00957EB9" w:rsidP="00957EB9">
      <w:pPr>
        <w:spacing w:before="100" w:beforeAutospacing="1" w:after="100" w:afterAutospacing="1" w:line="240" w:lineRule="atLeast"/>
        <w:jc w:val="center"/>
        <w:rPr>
          <w:rFonts w:ascii="Segoe UI" w:hAnsi="Segoe UI" w:cs="Segoe UI"/>
          <w:sz w:val="28"/>
          <w:szCs w:val="28"/>
        </w:rPr>
      </w:pPr>
      <w:r w:rsidRPr="00957EB9">
        <w:rPr>
          <w:rFonts w:ascii="Segoe UI" w:hAnsi="Segoe UI" w:cs="Segoe UI"/>
          <w:sz w:val="28"/>
          <w:szCs w:val="28"/>
        </w:rPr>
        <w:t>Оформить права на квартиру в новостройке ста</w:t>
      </w:r>
      <w:r w:rsidR="00C41F9C">
        <w:rPr>
          <w:rFonts w:ascii="Segoe UI" w:hAnsi="Segoe UI" w:cs="Segoe UI"/>
          <w:sz w:val="28"/>
          <w:szCs w:val="28"/>
        </w:rPr>
        <w:t>ло</w:t>
      </w:r>
      <w:r w:rsidRPr="00957EB9">
        <w:rPr>
          <w:rFonts w:ascii="Segoe UI" w:hAnsi="Segoe UI" w:cs="Segoe UI"/>
          <w:sz w:val="28"/>
          <w:szCs w:val="28"/>
        </w:rPr>
        <w:t xml:space="preserve"> проще</w:t>
      </w:r>
    </w:p>
    <w:p w:rsidR="00957EB9" w:rsidRPr="00957EB9" w:rsidRDefault="00957EB9" w:rsidP="00957EB9">
      <w:pPr>
        <w:spacing w:before="100" w:beforeAutospacing="1" w:after="100" w:afterAutospacing="1" w:line="240" w:lineRule="atLeast"/>
        <w:ind w:firstLine="567"/>
        <w:jc w:val="both"/>
        <w:rPr>
          <w:rFonts w:ascii="Segoe UI" w:hAnsi="Segoe UI" w:cs="Segoe UI"/>
          <w:b/>
          <w:sz w:val="28"/>
          <w:szCs w:val="28"/>
        </w:rPr>
      </w:pPr>
      <w:r w:rsidRPr="00957EB9">
        <w:rPr>
          <w:rFonts w:ascii="Segoe UI" w:hAnsi="Segoe UI" w:cs="Segoe UI"/>
          <w:b/>
          <w:sz w:val="28"/>
          <w:szCs w:val="28"/>
        </w:rPr>
        <w:t>С 1 июля 2019 года в России нач</w:t>
      </w:r>
      <w:r w:rsidR="00200D91">
        <w:rPr>
          <w:rFonts w:ascii="Segoe UI" w:hAnsi="Segoe UI" w:cs="Segoe UI"/>
          <w:b/>
          <w:sz w:val="28"/>
          <w:szCs w:val="28"/>
        </w:rPr>
        <w:t>ало</w:t>
      </w:r>
      <w:r w:rsidRPr="00957EB9">
        <w:rPr>
          <w:rFonts w:ascii="Segoe UI" w:hAnsi="Segoe UI" w:cs="Segoe UI"/>
          <w:b/>
          <w:sz w:val="28"/>
          <w:szCs w:val="28"/>
        </w:rPr>
        <w:t xml:space="preserve"> действовать правило обязательного использования эскроу-счетов: переход от долевого финансирования строительства к </w:t>
      </w:r>
      <w:proofErr w:type="gramStart"/>
      <w:r w:rsidRPr="00957EB9">
        <w:rPr>
          <w:rFonts w:ascii="Segoe UI" w:hAnsi="Segoe UI" w:cs="Segoe UI"/>
          <w:b/>
          <w:sz w:val="28"/>
          <w:szCs w:val="28"/>
        </w:rPr>
        <w:t>проектному</w:t>
      </w:r>
      <w:proofErr w:type="gramEnd"/>
      <w:r w:rsidRPr="00957EB9">
        <w:rPr>
          <w:rFonts w:ascii="Segoe UI" w:hAnsi="Segoe UI" w:cs="Segoe UI"/>
          <w:b/>
          <w:sz w:val="28"/>
          <w:szCs w:val="28"/>
        </w:rPr>
        <w:t xml:space="preserve"> обусловлен необходимостью минимизировать риски для всех участников рынка первичной недвижимости. По мнению экспертов Федеральной Кадастровой палаты, новая инвестиционная модель упростит гражданам задачу по оформлению собственности в новостройке.</w:t>
      </w:r>
    </w:p>
    <w:p w:rsidR="00957EB9" w:rsidRPr="00957EB9"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sz w:val="28"/>
          <w:szCs w:val="28"/>
        </w:rPr>
        <w:t xml:space="preserve">Согласно новым правилам, покупатели квартир больше не перечисляют деньги застройщику, а хранят средства на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957EB9" w:rsidRPr="00957EB9" w:rsidRDefault="00957EB9" w:rsidP="00957EB9">
      <w:pPr>
        <w:spacing w:before="100" w:beforeAutospacing="1" w:after="100" w:afterAutospacing="1" w:line="240" w:lineRule="atLeast"/>
        <w:ind w:firstLine="567"/>
        <w:jc w:val="both"/>
        <w:rPr>
          <w:rFonts w:ascii="Segoe UI" w:hAnsi="Segoe UI" w:cs="Segoe UI"/>
          <w:b/>
          <w:i/>
          <w:sz w:val="28"/>
          <w:szCs w:val="28"/>
        </w:rPr>
      </w:pPr>
      <w:r w:rsidRPr="00957EB9">
        <w:rPr>
          <w:rFonts w:ascii="Segoe UI" w:hAnsi="Segoe UI" w:cs="Segoe UI"/>
          <w:i/>
          <w:sz w:val="28"/>
          <w:szCs w:val="28"/>
        </w:rPr>
        <w:t xml:space="preserve">«До настоящего времени проблемы дольщиков не ограничивались серьезными финансовыми рисками. </w:t>
      </w:r>
      <w:r w:rsidR="00C51786">
        <w:rPr>
          <w:rFonts w:ascii="Segoe UI" w:hAnsi="Segoe UI" w:cs="Segoe UI"/>
          <w:i/>
          <w:sz w:val="28"/>
          <w:szCs w:val="28"/>
        </w:rPr>
        <w:t>С</w:t>
      </w:r>
      <w:r w:rsidR="00C51786" w:rsidRPr="00957EB9">
        <w:rPr>
          <w:rFonts w:ascii="Segoe UI" w:hAnsi="Segoe UI" w:cs="Segoe UI"/>
          <w:i/>
          <w:sz w:val="28"/>
          <w:szCs w:val="28"/>
        </w:rPr>
        <w:t>обственники помещений многоквартирного дома не могли зарегистрировать права на квартиру</w:t>
      </w:r>
      <w:r w:rsidRPr="00957EB9">
        <w:rPr>
          <w:rFonts w:ascii="Segoe UI" w:hAnsi="Segoe UI" w:cs="Segoe UI"/>
          <w:i/>
          <w:sz w:val="28"/>
          <w:szCs w:val="28"/>
        </w:rPr>
        <w:t>, даже после получения ключей.</w:t>
      </w:r>
      <w:r w:rsidR="00C51786">
        <w:rPr>
          <w:rFonts w:ascii="Segoe UI" w:hAnsi="Segoe UI" w:cs="Segoe UI"/>
          <w:i/>
          <w:sz w:val="28"/>
          <w:szCs w:val="28"/>
        </w:rPr>
        <w:t xml:space="preserve"> Процедура кадастрового учета затягивалась, </w:t>
      </w:r>
      <w:r w:rsidRPr="00957EB9">
        <w:rPr>
          <w:rFonts w:ascii="Segoe UI" w:hAnsi="Segoe UI" w:cs="Segoe UI"/>
          <w:i/>
          <w:sz w:val="28"/>
          <w:szCs w:val="28"/>
        </w:rPr>
        <w:t xml:space="preserve">а единственными лицами, заинтересованными в решении вопроса, оказывались сами собственники», - </w:t>
      </w:r>
      <w:r w:rsidRPr="00957EB9">
        <w:rPr>
          <w:rFonts w:ascii="Segoe UI" w:hAnsi="Segoe UI" w:cs="Segoe UI"/>
          <w:sz w:val="28"/>
          <w:szCs w:val="28"/>
        </w:rPr>
        <w:t xml:space="preserve">говорит </w:t>
      </w:r>
      <w:r w:rsidR="00C51786">
        <w:rPr>
          <w:rFonts w:ascii="Segoe UI" w:hAnsi="Segoe UI" w:cs="Segoe UI"/>
          <w:sz w:val="28"/>
          <w:szCs w:val="28"/>
        </w:rPr>
        <w:t xml:space="preserve">начальник отдела обработки документов и обеспечения учетных действий № 3 </w:t>
      </w:r>
      <w:r w:rsidR="00C51786" w:rsidRPr="00C51786">
        <w:rPr>
          <w:rFonts w:ascii="Segoe UI" w:hAnsi="Segoe UI" w:cs="Segoe UI"/>
          <w:sz w:val="28"/>
          <w:szCs w:val="28"/>
        </w:rPr>
        <w:t xml:space="preserve">филиала </w:t>
      </w:r>
      <w:r w:rsidRPr="00C51786">
        <w:rPr>
          <w:rFonts w:ascii="Segoe UI" w:hAnsi="Segoe UI" w:cs="Segoe UI"/>
          <w:sz w:val="28"/>
          <w:szCs w:val="28"/>
        </w:rPr>
        <w:t xml:space="preserve">Федеральной кадастровой палаты </w:t>
      </w:r>
      <w:r w:rsidR="00C51786" w:rsidRPr="00C51786">
        <w:rPr>
          <w:rFonts w:ascii="Segoe UI" w:hAnsi="Segoe UI" w:cs="Segoe UI"/>
          <w:sz w:val="28"/>
          <w:szCs w:val="28"/>
        </w:rPr>
        <w:t>по Уральскому федеральному округу Алена Давыдова</w:t>
      </w:r>
      <w:r w:rsidRPr="00C51786">
        <w:rPr>
          <w:rFonts w:ascii="Segoe UI" w:hAnsi="Segoe UI" w:cs="Segoe UI"/>
          <w:sz w:val="28"/>
          <w:szCs w:val="28"/>
        </w:rPr>
        <w:t>.</w:t>
      </w:r>
    </w:p>
    <w:p w:rsidR="00957EB9" w:rsidRPr="00957EB9"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sz w:val="28"/>
          <w:szCs w:val="28"/>
        </w:rPr>
        <w:t xml:space="preserve">Обеспечить кадастровый учет многоквартирного дома обязан орган власти, уполномоченный выдавать разрешение на ввод объекта </w:t>
      </w:r>
      <w:r w:rsidRPr="00957EB9">
        <w:rPr>
          <w:rFonts w:ascii="Segoe UI" w:hAnsi="Segoe UI" w:cs="Segoe UI"/>
          <w:sz w:val="28"/>
          <w:szCs w:val="28"/>
        </w:rPr>
        <w:lastRenderedPageBreak/>
        <w:t>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957EB9" w:rsidRPr="00957EB9"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sz w:val="28"/>
          <w:szCs w:val="28"/>
        </w:rPr>
        <w:t xml:space="preserve">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 общедомовом имуществе, машино-местах,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w:t>
      </w:r>
    </w:p>
    <w:p w:rsidR="00957EB9" w:rsidRPr="00C51786"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sz w:val="28"/>
          <w:szCs w:val="28"/>
        </w:rPr>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w:t>
      </w:r>
      <w:r w:rsidRPr="00C51786">
        <w:rPr>
          <w:rFonts w:ascii="Segoe UI" w:hAnsi="Segoe UI" w:cs="Segoe UI"/>
          <w:sz w:val="28"/>
          <w:szCs w:val="28"/>
        </w:rPr>
        <w:t xml:space="preserve">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w:t>
      </w:r>
    </w:p>
    <w:p w:rsidR="00957EB9" w:rsidRPr="00C51786"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sz w:val="28"/>
          <w:szCs w:val="28"/>
        </w:rPr>
        <w:t xml:space="preserve">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w:t>
      </w:r>
      <w:r w:rsidRPr="00C51786">
        <w:rPr>
          <w:rFonts w:ascii="Segoe UI" w:hAnsi="Segoe UI" w:cs="Segoe UI"/>
          <w:sz w:val="28"/>
          <w:szCs w:val="28"/>
        </w:rPr>
        <w:t>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При этом обязательно надо представить договор долевого участия и акт приема-передачи.</w:t>
      </w:r>
    </w:p>
    <w:p w:rsidR="00957EB9" w:rsidRPr="00957EB9" w:rsidRDefault="00957EB9" w:rsidP="00957EB9">
      <w:pPr>
        <w:spacing w:before="100" w:beforeAutospacing="1" w:after="100" w:afterAutospacing="1" w:line="240" w:lineRule="atLeast"/>
        <w:ind w:firstLine="567"/>
        <w:jc w:val="both"/>
        <w:rPr>
          <w:rFonts w:ascii="Segoe UI" w:eastAsia="Times New Roman" w:hAnsi="Segoe UI" w:cs="Segoe UI"/>
          <w:sz w:val="28"/>
          <w:szCs w:val="28"/>
          <w:lang w:eastAsia="ru-RU"/>
        </w:rPr>
      </w:pPr>
      <w:r w:rsidRPr="00957EB9">
        <w:rPr>
          <w:rFonts w:ascii="Segoe UI" w:hAnsi="Segoe UI" w:cs="Segoe UI"/>
          <w:sz w:val="28"/>
          <w:szCs w:val="28"/>
        </w:rPr>
        <w:t>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машино-места, будет продано без использования эскроу-счетов. Готовность объекта может составлять 15%, е</w:t>
      </w:r>
      <w:r w:rsidRPr="00957EB9">
        <w:rPr>
          <w:rFonts w:ascii="Segoe UI" w:eastAsia="Times New Roman" w:hAnsi="Segoe UI" w:cs="Segoe UI"/>
          <w:sz w:val="28"/>
          <w:szCs w:val="28"/>
          <w:lang w:eastAsia="ru-RU"/>
        </w:rPr>
        <w:t xml:space="preserve">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w:t>
      </w:r>
      <w:r w:rsidRPr="00957EB9">
        <w:rPr>
          <w:rFonts w:ascii="Segoe UI" w:eastAsia="Times New Roman" w:hAnsi="Segoe UI" w:cs="Segoe UI"/>
          <w:sz w:val="28"/>
          <w:szCs w:val="28"/>
          <w:lang w:eastAsia="ru-RU"/>
        </w:rPr>
        <w:lastRenderedPageBreak/>
        <w:t xml:space="preserve">социальной или инженерной инфраструктуры в государственную или муниципальную собственность либо снос ветхого и аварийного жилья. </w:t>
      </w:r>
    </w:p>
    <w:p w:rsidR="00957EB9" w:rsidRPr="00957EB9" w:rsidRDefault="00957EB9" w:rsidP="00957EB9">
      <w:pPr>
        <w:spacing w:before="100" w:beforeAutospacing="1" w:after="100" w:afterAutospacing="1" w:line="240" w:lineRule="atLeast"/>
        <w:ind w:firstLine="567"/>
        <w:jc w:val="both"/>
        <w:rPr>
          <w:rFonts w:ascii="Segoe UI" w:hAnsi="Segoe UI" w:cs="Segoe UI"/>
          <w:sz w:val="28"/>
          <w:szCs w:val="28"/>
        </w:rPr>
      </w:pPr>
      <w:r w:rsidRPr="00957EB9">
        <w:rPr>
          <w:rFonts w:ascii="Segoe UI" w:hAnsi="Segoe UI" w:cs="Segoe UI"/>
          <w:i/>
          <w:sz w:val="28"/>
          <w:szCs w:val="28"/>
        </w:rPr>
        <w:t xml:space="preserve">«В то же время закон предусматривает возможность </w:t>
      </w:r>
      <w:r w:rsidRPr="00957EB9">
        <w:rPr>
          <w:rFonts w:ascii="Segoe UI" w:hAnsi="Segoe UI" w:cs="Segoe UI"/>
          <w:i/>
          <w:color w:val="000000"/>
          <w:sz w:val="28"/>
          <w:szCs w:val="28"/>
          <w:shd w:val="clear" w:color="auto" w:fill="FFFFFF"/>
        </w:rPr>
        <w:t>заключать договоры долевого участия без использования эскроу-счетов и после 1 июля 2019 года</w:t>
      </w:r>
      <w:r w:rsidRPr="00957EB9">
        <w:rPr>
          <w:rFonts w:ascii="Segoe UI" w:hAnsi="Segoe UI" w:cs="Segoe UI"/>
          <w:i/>
          <w:sz w:val="28"/>
          <w:szCs w:val="28"/>
        </w:rPr>
        <w:t xml:space="preserve"> – для девелоперов, чьи проекты частично завершены</w:t>
      </w:r>
      <w:r w:rsidRPr="00957EB9">
        <w:rPr>
          <w:rFonts w:ascii="Segoe UI" w:hAnsi="Segoe UI" w:cs="Segoe UI"/>
          <w:i/>
          <w:color w:val="000000"/>
          <w:sz w:val="28"/>
          <w:szCs w:val="28"/>
          <w:shd w:val="clear" w:color="auto" w:fill="FFFFFF"/>
        </w:rPr>
        <w:t xml:space="preserve">.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w:t>
      </w:r>
      <w:r w:rsidRPr="00957EB9">
        <w:rPr>
          <w:rFonts w:ascii="Segoe UI" w:hAnsi="Segoe UI" w:cs="Segoe UI"/>
          <w:color w:val="000000"/>
          <w:sz w:val="28"/>
          <w:szCs w:val="28"/>
          <w:shd w:val="clear" w:color="auto" w:fill="FFFFFF"/>
        </w:rPr>
        <w:t>– отмечает эксперт.</w:t>
      </w:r>
    </w:p>
    <w:p w:rsidR="00957EB9" w:rsidRPr="00957EB9" w:rsidRDefault="00957EB9" w:rsidP="00957EB9">
      <w:pPr>
        <w:spacing w:before="100" w:beforeAutospacing="1" w:after="100" w:afterAutospacing="1" w:line="240" w:lineRule="atLeast"/>
        <w:ind w:firstLine="567"/>
        <w:jc w:val="both"/>
        <w:rPr>
          <w:rFonts w:ascii="Segoe UI" w:eastAsia="Times New Roman" w:hAnsi="Segoe UI" w:cs="Segoe UI"/>
          <w:sz w:val="28"/>
          <w:szCs w:val="28"/>
          <w:lang w:eastAsia="ru-RU"/>
        </w:rPr>
      </w:pPr>
      <w:r w:rsidRPr="00957EB9">
        <w:rPr>
          <w:rFonts w:ascii="Segoe UI" w:eastAsia="Times New Roman" w:hAnsi="Segoe UI" w:cs="Segoe UI"/>
          <w:sz w:val="28"/>
          <w:szCs w:val="28"/>
          <w:lang w:eastAsia="ru-RU"/>
        </w:rPr>
        <w:t>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w:t>
      </w:r>
      <w:r w:rsidRPr="00957EB9">
        <w:rPr>
          <w:rFonts w:ascii="Segoe UI" w:hAnsi="Segoe UI" w:cs="Segoe UI"/>
          <w:sz w:val="28"/>
          <w:szCs w:val="28"/>
        </w:rPr>
        <w:t>м²</w:t>
      </w:r>
      <w:r w:rsidRPr="00957EB9">
        <w:rPr>
          <w:rFonts w:ascii="Segoe UI" w:eastAsia="Times New Roman" w:hAnsi="Segoe UI" w:cs="Segoe UI"/>
          <w:sz w:val="28"/>
          <w:szCs w:val="28"/>
          <w:lang w:eastAsia="ru-RU"/>
        </w:rPr>
        <w:t xml:space="preserve"> на территории 4 субъектов РФ, строительная готовность объекта может составлять 6%. Такая же планка установлена для застройщиков, взявших на себя обязательства по заверш</w:t>
      </w:r>
      <w:bookmarkStart w:id="0" w:name="_GoBack"/>
      <w:bookmarkEnd w:id="0"/>
      <w:r w:rsidRPr="00957EB9">
        <w:rPr>
          <w:rFonts w:ascii="Segoe UI" w:eastAsia="Times New Roman" w:hAnsi="Segoe UI" w:cs="Segoe UI"/>
          <w:sz w:val="28"/>
          <w:szCs w:val="28"/>
          <w:lang w:eastAsia="ru-RU"/>
        </w:rPr>
        <w:t>ению долевого долгостроя вместо компаний-банкротов. Постановление также предусматривает право регионов устанавливать собственные критерии и случаи их применения, при условии предоставления финансовых гарантий завершения строительства, которое велось без использования эскроу-счетов.</w:t>
      </w:r>
    </w:p>
    <w:p w:rsidR="002D0349" w:rsidRPr="00957EB9" w:rsidRDefault="002D0349" w:rsidP="00957EB9">
      <w:pPr>
        <w:spacing w:before="100" w:beforeAutospacing="1" w:after="100" w:afterAutospacing="1" w:line="240" w:lineRule="atLeast"/>
        <w:ind w:firstLine="567"/>
        <w:jc w:val="both"/>
        <w:rPr>
          <w:rFonts w:ascii="Segoe UI" w:eastAsia="Times New Roman" w:hAnsi="Segoe UI" w:cs="Segoe UI"/>
          <w:sz w:val="28"/>
          <w:szCs w:val="28"/>
          <w:lang w:eastAsia="ru-RU"/>
        </w:rPr>
      </w:pPr>
    </w:p>
    <w:sectPr w:rsidR="002D0349" w:rsidRPr="00957EB9" w:rsidSect="00916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200D91"/>
    <w:rsid w:val="002D0349"/>
    <w:rsid w:val="003629B0"/>
    <w:rsid w:val="004A353A"/>
    <w:rsid w:val="007671CE"/>
    <w:rsid w:val="00916CF0"/>
    <w:rsid w:val="00957EB9"/>
    <w:rsid w:val="00A47CFF"/>
    <w:rsid w:val="00C017C6"/>
    <w:rsid w:val="00C41F9C"/>
    <w:rsid w:val="00C51786"/>
    <w:rsid w:val="00CD2DA2"/>
    <w:rsid w:val="00F37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Gurskaya_EO</cp:lastModifiedBy>
  <cp:revision>5</cp:revision>
  <dcterms:created xsi:type="dcterms:W3CDTF">2019-07-10T09:32:00Z</dcterms:created>
  <dcterms:modified xsi:type="dcterms:W3CDTF">2019-07-17T05:25:00Z</dcterms:modified>
</cp:coreProperties>
</file>