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 wp14:anchorId="41E2592A" wp14:editId="23837AA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6221" w:rsidRDefault="00274D60" w:rsidP="00274D60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Свердловская область </w:t>
      </w:r>
      <w:r w:rsidR="00943652">
        <w:rPr>
          <w:rFonts w:ascii="Segoe UI" w:hAnsi="Segoe UI" w:cs="Segoe UI"/>
          <w:sz w:val="32"/>
          <w:szCs w:val="32"/>
        </w:rPr>
        <w:t xml:space="preserve">вошла </w:t>
      </w:r>
      <w:r w:rsidR="00B21B24">
        <w:rPr>
          <w:rFonts w:ascii="Segoe UI" w:hAnsi="Segoe UI" w:cs="Segoe UI"/>
          <w:sz w:val="32"/>
          <w:szCs w:val="32"/>
        </w:rPr>
        <w:t xml:space="preserve">в </w:t>
      </w:r>
      <w:r w:rsidR="00943652">
        <w:rPr>
          <w:rFonts w:ascii="Segoe UI" w:hAnsi="Segoe UI" w:cs="Segoe UI"/>
          <w:sz w:val="32"/>
          <w:szCs w:val="32"/>
        </w:rPr>
        <w:t>число лидеров по</w:t>
      </w:r>
      <w:r w:rsidRPr="00274D60">
        <w:rPr>
          <w:rFonts w:ascii="Segoe UI" w:hAnsi="Segoe UI" w:cs="Segoe UI"/>
          <w:sz w:val="32"/>
          <w:szCs w:val="32"/>
        </w:rPr>
        <w:t xml:space="preserve"> сделкам </w:t>
      </w:r>
    </w:p>
    <w:p w:rsidR="00274D60" w:rsidRPr="00274D60" w:rsidRDefault="00274D60" w:rsidP="00274D60">
      <w:pPr>
        <w:rPr>
          <w:rFonts w:ascii="Segoe UI" w:hAnsi="Segoe UI" w:cs="Segoe UI"/>
          <w:sz w:val="32"/>
          <w:szCs w:val="32"/>
        </w:rPr>
      </w:pPr>
      <w:r w:rsidRPr="00274D60">
        <w:rPr>
          <w:rFonts w:ascii="Segoe UI" w:hAnsi="Segoe UI" w:cs="Segoe UI"/>
          <w:sz w:val="32"/>
          <w:szCs w:val="32"/>
        </w:rPr>
        <w:t>с ипотекой, ДДУ и на вторичном рынке за 2021 год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Общее количество договоров долевого участия (ДДУ), зарегистрированных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274D60" w:rsidRPr="00943652" w:rsidRDefault="00274D60" w:rsidP="0094365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«Для граждан созданы возможности получать государственные услуги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>. Доля учетно-регистрационных действий в электронном виде по итогам года составила 46%, что в два раза превышает показатель начала 2020 года. Доля электронной ипотеки выросла с 9% до 80%, что в 4 раза превышает показатель нацпроекта «Жилье и городская среда», а количество электронных ДДУ – с 20% до 67%»,</w:t>
      </w:r>
      <w:r w:rsidRPr="00274D60">
        <w:rPr>
          <w:rFonts w:ascii="Segoe UI" w:hAnsi="Segoe UI" w:cs="Segoe UI"/>
          <w:sz w:val="24"/>
          <w:szCs w:val="24"/>
        </w:rPr>
        <w:t xml:space="preserve"> - отметила заместитель руководителя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>, руководитель цифровой трансформации </w:t>
      </w:r>
      <w:r w:rsidRPr="00943652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Ипотека переходит в онлайн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По словам Елены Мартыновой, на рост популярности услуги в том числе повлиял проект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«Электронная регистрация ипотеки за 24 часа», который в 2021 году масштабирован на все субъекты страны.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«Сегодня 68% всех заявлений по ипотеке в стране оформляется в рамках проекта за один день. Нам удалось в рекордные сроки выстроить взаимодействие ведомства с кредитными организациями так, чтобы при оформлении ипотечных сделок банки напрямую направляли пакет заявлений в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и человеку не нужно было обращаться дополнительно в МФЦ. Это помогает людям просто и </w:t>
      </w:r>
      <w:r w:rsidRPr="00943652">
        <w:rPr>
          <w:rFonts w:ascii="Segoe UI" w:hAnsi="Segoe UI" w:cs="Segoe UI"/>
          <w:i/>
          <w:sz w:val="24"/>
          <w:szCs w:val="24"/>
        </w:rPr>
        <w:lastRenderedPageBreak/>
        <w:t xml:space="preserve">быстро решать вопросы, связанные с приобретением и продажей недвижимости, не тратить время на заполнение бумажных документов. Сейчас в условиях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коронавируса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такой формат получения услуги особенно актуален и удобен для граждан»</w:t>
      </w:r>
      <w:r w:rsidRPr="00274D60">
        <w:rPr>
          <w:rFonts w:ascii="Segoe UI" w:hAnsi="Segoe UI" w:cs="Segoe UI"/>
          <w:sz w:val="24"/>
          <w:szCs w:val="24"/>
        </w:rPr>
        <w:t xml:space="preserve">, - заявила </w:t>
      </w:r>
      <w:r w:rsidRPr="00943652">
        <w:rPr>
          <w:rFonts w:ascii="Segoe UI" w:hAnsi="Segoe UI" w:cs="Segoe UI"/>
          <w:b/>
          <w:sz w:val="24"/>
          <w:szCs w:val="24"/>
        </w:rPr>
        <w:t>заместитель руководителя ведомства</w:t>
      </w:r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Лидерами по ипотечным сделкам за отчетный период</w:t>
      </w:r>
      <w:r w:rsidRPr="00274D60">
        <w:rPr>
          <w:rFonts w:ascii="Segoe UI" w:hAnsi="Segoe UI" w:cs="Segoe UI"/>
          <w:sz w:val="24"/>
          <w:szCs w:val="24"/>
        </w:rPr>
        <w:t xml:space="preserve"> стали Московская область (326,7 тыс.), Москва (261 тыс.), Краснодарский край (205 тыс.), Санкт-Петербург (183,6 тыс.) и Свердловская область (153,5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«</w:t>
      </w:r>
      <w:r w:rsidR="00943652" w:rsidRPr="00943652">
        <w:rPr>
          <w:rFonts w:ascii="Segoe UI" w:hAnsi="Segoe UI" w:cs="Segoe UI"/>
          <w:i/>
          <w:sz w:val="24"/>
          <w:szCs w:val="24"/>
        </w:rPr>
        <w:t>У</w:t>
      </w:r>
      <w:r w:rsidR="00943652" w:rsidRPr="00943652">
        <w:rPr>
          <w:rFonts w:ascii="Segoe UI" w:hAnsi="Segoe UI" w:cs="Segoe UI"/>
          <w:i/>
          <w:sz w:val="24"/>
          <w:szCs w:val="24"/>
        </w:rPr>
        <w:t>величению доли электронной ипотеки способствует слаженная командная работа территориального органа по взаимодействию с профессиональными участниками рынка</w:t>
      </w:r>
      <w:r w:rsidR="00943652">
        <w:rPr>
          <w:rFonts w:ascii="Segoe UI" w:hAnsi="Segoe UI" w:cs="Segoe UI"/>
          <w:i/>
          <w:sz w:val="24"/>
          <w:szCs w:val="24"/>
        </w:rPr>
        <w:t xml:space="preserve">. </w:t>
      </w:r>
      <w:r w:rsidRPr="00943652">
        <w:rPr>
          <w:rFonts w:ascii="Segoe UI" w:hAnsi="Segoe UI" w:cs="Segoe UI"/>
          <w:i/>
          <w:sz w:val="24"/>
          <w:szCs w:val="24"/>
        </w:rPr>
        <w:t>Созданы рабочие группы, отрабатываются ключевые вопросы, обеспечена непрерывная техническая и методологическая поддержка. В результате успешного сотрудничества нам удалось достичь положительных результатов: повысить качество предоставляемых на регистрацию документов, сократить сроки регистрации, снизить риски приостановления и отказа в государственной регистрации»,</w:t>
      </w:r>
      <w:r w:rsidRPr="00274D60">
        <w:rPr>
          <w:rFonts w:ascii="Segoe UI" w:hAnsi="Segoe UI" w:cs="Segoe UI"/>
          <w:sz w:val="24"/>
          <w:szCs w:val="24"/>
        </w:rPr>
        <w:t xml:space="preserve"> - отметил </w:t>
      </w:r>
      <w:r w:rsidR="00943652" w:rsidRPr="00274D60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proofErr w:type="spellStart"/>
      <w:r w:rsidR="00943652" w:rsidRPr="00274D6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43652" w:rsidRPr="00274D60">
        <w:rPr>
          <w:rFonts w:ascii="Segoe UI" w:hAnsi="Segoe UI" w:cs="Segoe UI"/>
          <w:sz w:val="24"/>
          <w:szCs w:val="24"/>
        </w:rPr>
        <w:t xml:space="preserve"> по Свердловской </w:t>
      </w:r>
      <w:r w:rsidR="00943652" w:rsidRPr="00274D60">
        <w:rPr>
          <w:rFonts w:ascii="Segoe UI" w:hAnsi="Segoe UI" w:cs="Segoe UI"/>
          <w:sz w:val="24"/>
          <w:szCs w:val="24"/>
        </w:rPr>
        <w:t>области </w:t>
      </w:r>
      <w:r w:rsidR="00943652" w:rsidRPr="00943652">
        <w:rPr>
          <w:rFonts w:ascii="Segoe UI" w:hAnsi="Segoe UI" w:cs="Segoe UI"/>
          <w:b/>
          <w:sz w:val="24"/>
          <w:szCs w:val="24"/>
        </w:rPr>
        <w:t>Игорь</w:t>
      </w:r>
      <w:r w:rsidRPr="00943652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943652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Вторичный рынок демонстрирует устойчивый рост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Спрос на вторичном рынке недвижимости за 2021 год вырос на 14,5%. За отчетный период зарегистрировано 4,2 млн прав собственников на основании договоров купли-продажи (за 2020 год – почти 3,7 млн).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CA6221" w:rsidRPr="00422D06" w:rsidRDefault="00CA6221" w:rsidP="00CA6221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</w:p>
    <w:p w:rsidR="00CA6221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3A5625C" wp14:editId="2ABB48E0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C3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1B5D61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CA6221" w:rsidP="00274D6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27047" w:rsidRPr="002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0"/>
    <w:rsid w:val="00274D60"/>
    <w:rsid w:val="006B07A9"/>
    <w:rsid w:val="00943652"/>
    <w:rsid w:val="00B21B24"/>
    <w:rsid w:val="00CA6221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B29F"/>
  <w15:chartTrackingRefBased/>
  <w15:docId w15:val="{97AD8442-AC71-4838-953B-376F74C9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2022-02-11T09:25:00Z</cp:lastPrinted>
  <dcterms:created xsi:type="dcterms:W3CDTF">2022-02-11T09:09:00Z</dcterms:created>
  <dcterms:modified xsi:type="dcterms:W3CDTF">2022-02-11T09:33:00Z</dcterms:modified>
</cp:coreProperties>
</file>