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Уголовный кодекс РФ предусматривает ответственность за совершение ряда преступлений террористического характера: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07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0" w:name="bookmark0"/>
      <w:bookmarkEnd w:id="0"/>
      <w:r>
        <w:rPr>
          <w:color w:val="000000"/>
          <w:spacing w:val="0"/>
          <w:w w:val="100"/>
        </w:rPr>
        <w:t>террористический акт (ст. 205);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12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1" w:name="bookmark1"/>
      <w:bookmarkEnd w:id="1"/>
      <w:r>
        <w:rPr>
          <w:color w:val="000000"/>
          <w:spacing w:val="0"/>
          <w:w w:val="100"/>
        </w:rPr>
        <w:t>захват заложника (ст. 206);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17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2" w:name="bookmark2"/>
      <w:bookmarkEnd w:id="2"/>
      <w:r>
        <w:rPr>
          <w:color w:val="000000"/>
          <w:spacing w:val="0"/>
          <w:w w:val="100"/>
        </w:rPr>
        <w:t>организация незаконного вооруженного формирования или участие в нем (ст. 208).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В Уголовный кодекс РФ введены статьи, предусматривающие ответственность: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12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3" w:name="bookmark3"/>
      <w:bookmarkEnd w:id="3"/>
      <w:r>
        <w:rPr>
          <w:color w:val="000000"/>
          <w:spacing w:val="0"/>
          <w:w w:val="100"/>
        </w:rPr>
        <w:t>за содействие террористической деятельности (ст. 205.1),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12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4" w:name="bookmark4"/>
      <w:bookmarkEnd w:id="4"/>
      <w:r>
        <w:rPr>
          <w:color w:val="000000"/>
          <w:spacing w:val="0"/>
          <w:w w:val="100"/>
        </w:rPr>
        <w:t>публичные призывы к осуществлению такой деятельности или публичное оправдание терроризма (ст. 205.2).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Содействие террористической деятельности включает в себя склонение, вербовку или иное вовлечение лица в совершение хотя бы одного из преступлений, предусмотренных статьями 205, 205.2. 205.3. 205.4. 205.5. 206. 208, 211, 220, 221, 277, 278, 279, 360 и 361 УК РФ, вооружение или подготовку лица в целях совершения хотя бы одного из указанных преступлений, а равно финансирование терроризма.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Под публичным оправданием терроризма понимается публичное заявление о признании идеологии и практики терроризма правильными, нуждающимися в поддержке и подражании. За преступления террористической направленности предусмотрены наказания в виде лишения свободы вплоть до пожизненного заключения.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Достаточно широкое распространение получили в последнее время случаи заведомо ложных сообщений об акте терроризма (ст. 207) и 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 (ст. 207.3).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Такие действия, как правило, приносят значительный материальный ущерб государству, так как в каждом случае проводятся мероприятия по обнаружению взрывных устройств, эвакуации населения и т.д.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По общему правилу уголовного законодательства (ч. 1 ст. 20 УК РФ) уголовная ответственность наступает с 16-ти лет, однако из указанной нормы имеются исключения, в соответствии с которыми за некоторые виды преступлений в связи с их повышенной общественной опасностью уголовная ответственность наступает с 14-ти лет.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420"/>
        <w:ind w:left="0" w:right="0" w:firstLine="70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Лица, достигшие ко времени совершения преступления 14-летнего возраста, подлежат уголовной ответственности за совершение следующих преступлений: террористический акт (ст. 205), захват заложника (ст. 206), заведомо ложное сообщение об акте терроризма (ст. 207).</w:t>
      </w:r>
    </w:p>
    <w:sectPr>
      <w:headerReference w:type="even" r:id="rId2"/>
      <w:headerReference w:type="default" r:id="rId3"/>
      <w:type w:val="nextPage"/>
      <w:pgSz w:w="11906" w:h="16838"/>
      <w:pgMar w:left="1401" w:right="621" w:gutter="0" w:header="0" w:top="1440" w:footer="0" w:bottom="112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405" cy="175260"/>
              <wp:effectExtent l="0" t="0" r="0" b="0"/>
              <wp:wrapNone/>
              <wp:docPr id="1" name="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23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5" path="m0,0l-2147483645,0l-2147483645,-2147483646l0,-2147483646xe" stroked="f" o:allowincell="f" style="position:absolute;margin-left:314.35pt;margin-top:46.55pt;width:5.05pt;height:13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23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evenAndOddHeaders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21" w:customStyle="1">
    <w:name w:val="Колонтитул (2)_"/>
    <w:basedOn w:val="DefaultParagraphFont"/>
    <w:link w:val="Style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3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31" w:customStyle="1">
    <w:name w:val="Основной текст (3)"/>
    <w:basedOn w:val="Normal"/>
    <w:link w:val="CharStyle5"/>
    <w:qFormat/>
    <w:pPr>
      <w:widowControl w:val="false"/>
      <w:shd w:val="clear" w:color="auto" w:fill="auto"/>
      <w:spacing w:lineRule="auto" w:line="278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22" w:customStyle="1">
    <w:name w:val="Основной текст (2)"/>
    <w:basedOn w:val="Normal"/>
    <w:link w:val="CharStyle7"/>
    <w:qFormat/>
    <w:pPr>
      <w:widowControl w:val="false"/>
      <w:shd w:val="clear" w:color="auto" w:fill="auto"/>
      <w:spacing w:before="0" w:after="560"/>
      <w:ind w:left="340" w:right="0" w:firstLine="66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23" w:customStyle="1">
    <w:name w:val="Колонтитул (2)"/>
    <w:basedOn w:val="Normal"/>
    <w:link w:val="CharStyle11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294</Words>
  <Characters>2008</Characters>
  <CharactersWithSpaces>2283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2023-04-07T15:49:06Z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