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pPr w:bottomFromText="0" w:horzAnchor="margin" w:leftFromText="180" w:rightFromText="180" w:tblpX="108" w:tblpY="2" w:topFromText="0" w:vertAnchor="text"/>
        <w:tblW w:w="9405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619"/>
        <w:gridCol w:w="3761"/>
        <w:gridCol w:w="2025"/>
      </w:tblGrid>
      <w:tr>
        <w:trPr>
          <w:trHeight w:val="1438" w:hRule="atLeast"/>
        </w:trPr>
        <w:tc>
          <w:tcPr>
            <w:tcW w:w="3619" w:type="dxa"/>
            <w:tcBorders/>
          </w:tcPr>
          <w:p>
            <w:pPr>
              <w:pStyle w:val="Normal"/>
              <w:widowControl w:val="false"/>
              <w:ind w:firstLine="708"/>
              <w:rPr>
                <w:sz w:val="28"/>
              </w:rPr>
            </w:pPr>
            <w:r>
              <w:rPr>
                <w:sz w:val="28"/>
              </w:rPr>
            </w:r>
          </w:p>
          <w:p>
            <w:pPr>
              <w:pStyle w:val="Normal"/>
              <w:widowControl w:val="false"/>
              <w:ind w:firstLine="708"/>
              <w:rPr>
                <w:sz w:val="28"/>
              </w:rPr>
            </w:pPr>
            <w:r>
              <w:rPr>
                <w:sz w:val="28"/>
              </w:rPr>
            </w:r>
          </w:p>
        </w:tc>
        <w:tc>
          <w:tcPr>
            <w:tcW w:w="3761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900" w:leader="none"/>
              </w:tabs>
              <w:ind w:right="1512" w:hanging="0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>
              <w:rPr/>
              <w:drawing>
                <wp:inline distT="0" distB="0" distL="0" distR="0">
                  <wp:extent cx="581025" cy="93345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933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5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1369" w:hRule="atLeast"/>
        </w:trPr>
        <w:tc>
          <w:tcPr>
            <w:tcW w:w="9405" w:type="dxa"/>
            <w:gridSpan w:val="3"/>
            <w:tcBorders>
              <w:bottom w:val="thinThickSmallGap" w:sz="2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C9211E"/>
              </w:rPr>
            </w:pPr>
            <w:r>
              <w:rPr>
                <w:color w:val="C9211E"/>
              </w:rPr>
            </w:r>
          </w:p>
          <w:p>
            <w:pPr>
              <w:pStyle w:val="Normal"/>
              <w:widowControl w:val="false"/>
              <w:jc w:val="center"/>
              <w:rPr>
                <w:color w:val="C9211E"/>
              </w:rPr>
            </w:pPr>
            <w:r>
              <w:rPr>
                <w:rFonts w:cs="Liberation Serif"/>
                <w:b/>
                <w:bCs/>
                <w:iCs/>
                <w:color w:val="000000"/>
                <w:sz w:val="28"/>
                <w:szCs w:val="28"/>
              </w:rPr>
              <w:t xml:space="preserve">НАЧАЛЬНИК </w:t>
            </w:r>
            <w:r>
              <w:rPr>
                <w:rFonts w:cs="Liberation Serif"/>
                <w:b/>
                <w:bCs/>
                <w:color w:val="000000"/>
                <w:sz w:val="28"/>
                <w:szCs w:val="28"/>
              </w:rPr>
              <w:t>ФИНА</w:t>
            </w:r>
            <w:r>
              <w:rPr>
                <w:rFonts w:cs="Liberation Serif"/>
                <w:b/>
                <w:bCs/>
                <w:sz w:val="28"/>
                <w:szCs w:val="28"/>
              </w:rPr>
              <w:t>НСОВОГО ОТДЕЛА АДМИНИСТРАЦИИ</w:t>
            </w:r>
          </w:p>
          <w:p>
            <w:pPr>
              <w:pStyle w:val="Normal"/>
              <w:widowControl w:val="false"/>
              <w:jc w:val="center"/>
              <w:rPr>
                <w:color w:val="C9211E"/>
              </w:rPr>
            </w:pPr>
            <w:r>
              <w:rPr>
                <w:rFonts w:cs="Liberation Serif"/>
                <w:b/>
                <w:bCs/>
                <w:sz w:val="28"/>
                <w:szCs w:val="28"/>
              </w:rPr>
              <w:t>ГОРОДСКОГО ОКРУГА ЗАТО СВОБОДНЫЙ</w:t>
            </w:r>
          </w:p>
          <w:p>
            <w:pPr>
              <w:pStyle w:val="Normal"/>
              <w:widowControl w:val="false"/>
              <w:jc w:val="center"/>
              <w:rPr>
                <w:color w:val="C9211E"/>
              </w:rPr>
            </w:pPr>
            <w:r>
              <w:rPr>
                <w:rFonts w:cs="Liberation Serif"/>
                <w:b/>
                <w:bCs/>
                <w:sz w:val="28"/>
                <w:szCs w:val="28"/>
              </w:rPr>
              <w:t>РАСПОРЯЖЕНИЕ</w:t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от «0</w:t>
      </w: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» июня 2025 года № </w:t>
      </w:r>
      <w:r>
        <w:rPr>
          <w:rFonts w:ascii="Times New Roman" w:hAnsi="Times New Roman"/>
          <w:sz w:val="28"/>
          <w:szCs w:val="28"/>
        </w:rPr>
        <w:t>23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пос. Свободный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1"/>
        <w:spacing w:before="0" w:after="0"/>
        <w:ind w:left="0" w:right="-2" w:hanging="0"/>
        <w:jc w:val="center"/>
        <w:rPr>
          <w:rFonts w:ascii="Times New Roman" w:hAnsi="Times New Roman"/>
          <w:b/>
          <w:b/>
        </w:rPr>
      </w:pPr>
      <w:r>
        <w:rPr>
          <w:rFonts w:cs="Times New Roman" w:ascii="Times New Roman" w:hAnsi="Times New Roman"/>
          <w:b/>
        </w:rPr>
        <w:t xml:space="preserve">О </w:t>
      </w:r>
      <w:r>
        <w:rPr>
          <w:rFonts w:cs="Times New Roman" w:ascii="Times New Roman" w:hAnsi="Times New Roman"/>
          <w:b/>
        </w:rPr>
        <w:t xml:space="preserve">внесении изменений в </w:t>
      </w:r>
      <w:r>
        <w:rPr>
          <w:rFonts w:cs="Times New Roman" w:ascii="Times New Roman" w:hAnsi="Times New Roman"/>
          <w:b/>
        </w:rPr>
        <w:t>Поряд</w:t>
      </w:r>
      <w:r>
        <w:rPr>
          <w:rFonts w:cs="Times New Roman" w:ascii="Times New Roman" w:hAnsi="Times New Roman"/>
          <w:b/>
        </w:rPr>
        <w:t>о</w:t>
      </w:r>
      <w:r>
        <w:rPr>
          <w:rFonts w:cs="Times New Roman" w:ascii="Times New Roman" w:hAnsi="Times New Roman"/>
          <w:b/>
        </w:rPr>
        <w:t xml:space="preserve">к составления и ведения бюджетных росписей главных распорядителей средств бюджета городского округа ЗАТО Свободный </w:t>
      </w:r>
      <w:r>
        <w:rPr>
          <w:rFonts w:ascii="Times New Roman" w:hAnsi="Times New Roman"/>
          <w:b/>
          <w:sz w:val="28"/>
          <w:szCs w:val="28"/>
        </w:rPr>
        <w:t xml:space="preserve">(главных администраторов источников финансирования дефицита бюджета городского округа ЗАТО Свободный), </w:t>
      </w:r>
      <w:r>
        <w:rPr>
          <w:rFonts w:ascii="Times New Roman" w:hAnsi="Times New Roman"/>
          <w:b/>
          <w:sz w:val="28"/>
          <w:szCs w:val="28"/>
        </w:rPr>
        <w:t xml:space="preserve">утвержденных распоряжением начальника финансового отдела администрации городского округа ЗАТО Свободный </w:t>
      </w:r>
    </w:p>
    <w:p>
      <w:pPr>
        <w:pStyle w:val="11"/>
        <w:spacing w:before="0" w:after="0"/>
        <w:ind w:left="0" w:right="-2" w:hanging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  <w:sz w:val="28"/>
          <w:szCs w:val="28"/>
        </w:rPr>
        <w:t>от 30.12.2021 № 78</w:t>
      </w:r>
    </w:p>
    <w:p>
      <w:pPr>
        <w:pStyle w:val="Normal"/>
        <w:jc w:val="both"/>
        <w:rPr>
          <w:rFonts w:ascii="Liberation Serif" w:hAnsi="Liberation Serif" w:cs="Times New Roman"/>
          <w:b/>
          <w:b/>
          <w:bCs/>
          <w:i w:val="false"/>
          <w:i w:val="false"/>
          <w:iCs w:val="false"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В    соответствии     со    статьей    1</w:t>
      </w:r>
      <w:r>
        <w:rPr>
          <w:rFonts w:cs="Times New Roman" w:ascii="Times New Roman" w:hAnsi="Times New Roman"/>
          <w:color w:val="000000"/>
          <w:sz w:val="28"/>
          <w:szCs w:val="28"/>
        </w:rPr>
        <w:t>0</w:t>
      </w:r>
      <w:r>
        <w:rPr>
          <w:rFonts w:cs="Times New Roman" w:ascii="Times New Roman" w:hAnsi="Times New Roman"/>
          <w:color w:val="000000"/>
          <w:sz w:val="28"/>
          <w:szCs w:val="28"/>
        </w:rPr>
        <w:t>1    Закона    Свердловской   области  10 марта 1999 года № 4-ОЗ «О правовых актах в Свердловской области», руководствуясь Уставом городского округа ЗАТО Свободный,</w:t>
      </w:r>
    </w:p>
    <w:p>
      <w:pPr>
        <w:pStyle w:val="Normal"/>
        <w:suppressAutoHyphens w:val="false"/>
        <w:jc w:val="both"/>
        <w:rPr>
          <w:rFonts w:ascii="Times New Roman" w:hAnsi="Times New Roman"/>
          <w:sz w:val="28"/>
          <w:szCs w:val="28"/>
        </w:rPr>
      </w:pPr>
      <w:r>
        <w:rPr>
          <w:rFonts w:cs="Liberation Serif" w:ascii="Times New Roman" w:hAnsi="Times New Roman"/>
          <w:b/>
          <w:sz w:val="28"/>
          <w:szCs w:val="28"/>
        </w:rPr>
        <w:t>ПРИКАЗЫВАЮ: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 xml:space="preserve">Внести в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>Поряд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>о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 xml:space="preserve">к составления и ведения бюджетных росписей главных распорядителей средств бюджета городского округа ЗАТО Свободный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 xml:space="preserve">(главных администраторов источников финансирования дефицита бюджета городского округа ЗАТО Свободный),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 xml:space="preserve">утвержденных распоряжением начальника финансового отдела администрации городского округа ЗАТО Свободный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lang w:val="ru-RU"/>
        </w:rPr>
        <w:t>от 30.12.2021 № 78,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lang w:val="ru-RU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>следующие изменения: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1.1. пункт 1.3. изложить в следующей редакции: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«1.3. 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 xml:space="preserve">Составление и ведение бюджетной росписи, распределение лимитов бюджетных обязательств по подведомственным распорядителям и (или) получателям бюджетных средств и внесение изменений в них, доведение показателей бюджетной росписи и лимитов бюджетных обязательств до подведомственных распорядителей и (или) получателей бюджетных средств (администраторов источников финансирования дефицита областного бюджета (далее - администратор источников)) осуществляется в 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>ПК «Бюджет-СМАРТ Про»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 xml:space="preserve"> путем формирования электронных документов с использованием средств электронной подписи.».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 xml:space="preserve">1.2. </w:t>
      </w:r>
      <w:r>
        <w:rPr>
          <w:rFonts w:cs="Times New Roman" w:ascii="Times New Roman" w:hAnsi="Times New Roman"/>
          <w:b w:val="false"/>
          <w:bCs w:val="false"/>
          <w:i w:val="false"/>
          <w:strike w:val="false"/>
          <w:dstrike w:val="false"/>
          <w:sz w:val="28"/>
          <w:szCs w:val="28"/>
          <w:u w:val="none"/>
        </w:rPr>
        <w:t>абзац первый пункта 2.2. изложить в следующей редакции: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«2.2. 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>Бюджетная роспись составляется ГРБС (главным администратором источников) в разрезе подведомственных распорядителей и (или) получателей бюджетных средств (администраторов источников).».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 xml:space="preserve">1.3. </w:t>
      </w:r>
      <w:r>
        <w:rPr>
          <w:rFonts w:cs="Times New Roman" w:ascii="Times New Roman" w:hAnsi="Times New Roman"/>
          <w:b w:val="false"/>
          <w:bCs w:val="false"/>
          <w:i w:val="false"/>
          <w:strike w:val="false"/>
          <w:dstrike w:val="false"/>
          <w:sz w:val="28"/>
          <w:szCs w:val="28"/>
          <w:u w:val="none"/>
        </w:rPr>
        <w:t>пункт 4.3. добавить абзацем следующего содержания: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i w:val="false"/>
          <w:strike w:val="false"/>
          <w:dstrike w:val="false"/>
          <w:sz w:val="28"/>
          <w:szCs w:val="28"/>
          <w:u w:val="none"/>
        </w:rPr>
        <w:t>«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>ГРБС (главный администратор источников) обязан в течение пяти рабочих дней со дня получения документов об изменении сводной росписи и (или) лимитов бюджетных обязательств по ГРБС привести показатели своей бюджетной росписи в соответствие показателям сводной бюджетной росписи и (или) лимитам бюджетных обязательств по ГРБС.».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Настоящее </w:t>
      </w:r>
      <w:r>
        <w:rPr>
          <w:rFonts w:cs="Times New Roman" w:ascii="Times New Roman" w:hAnsi="Times New Roman"/>
          <w:sz w:val="28"/>
          <w:szCs w:val="28"/>
        </w:rPr>
        <w:t xml:space="preserve">распоряжение </w:t>
      </w:r>
      <w:r>
        <w:rPr>
          <w:rFonts w:cs="Times New Roman" w:ascii="Times New Roman" w:hAnsi="Times New Roman"/>
          <w:sz w:val="28"/>
          <w:szCs w:val="28"/>
        </w:rPr>
        <w:t>опубликовать на официальном сайте администрации городского округа ЗАТО Свободный.</w:t>
      </w:r>
    </w:p>
    <w:p>
      <w:pPr>
        <w:pStyle w:val="Normal"/>
        <w:widowControl w:val="false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 отдела                                                      М.Н. Малых</w:t>
      </w:r>
    </w:p>
    <w:p>
      <w:pPr>
        <w:pStyle w:val="Normal"/>
        <w:widowControl w:val="fals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ConsPlusNormal"/>
        <w:spacing w:lineRule="auto" w:line="192"/>
        <w:jc w:val="left"/>
        <w:rPr>
          <w:rFonts w:ascii="Times New Roman" w:hAnsi="Times New Roman"/>
          <w:sz w:val="28"/>
          <w:szCs w:val="28"/>
        </w:rPr>
      </w:pPr>
      <w:r>
        <w:rPr>
          <w:rFonts w:cs="Liberation Serif" w:ascii="Times New Roman" w:hAnsi="Times New Roman"/>
          <w:sz w:val="28"/>
          <w:szCs w:val="28"/>
        </w:rPr>
        <w:t xml:space="preserve">                                                                                  </w:t>
      </w:r>
    </w:p>
    <w:sectPr>
      <w:type w:val="nextPage"/>
      <w:pgSz w:w="11906" w:h="16838"/>
      <w:pgMar w:left="1701" w:right="851" w:gutter="0" w:header="0" w:top="1134" w:footer="0" w:bottom="1134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9166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691662"/>
    <w:rPr>
      <w:rFonts w:ascii="Tahoma" w:hAnsi="Tahoma" w:eastAsia="Times New Roman" w:cs="Tahoma"/>
      <w:sz w:val="16"/>
      <w:szCs w:val="16"/>
      <w:lang w:eastAsia="ru-RU"/>
    </w:rPr>
  </w:style>
  <w:style w:type="character" w:styleId="Style15">
    <w:name w:val="Hyperlink"/>
    <w:rPr>
      <w:color w:val="000080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Style21">
    <w:name w:val="Title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ConsPlusNormal" w:customStyle="1">
    <w:name w:val="ConsPlusNormal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val="ru-RU" w:eastAsia="ru-RU" w:bidi="ar-SA"/>
    </w:rPr>
  </w:style>
  <w:style w:type="paragraph" w:styleId="ConsPlusNonformat" w:customStyle="1">
    <w:name w:val="ConsPlusNonformat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kern w:val="0"/>
      <w:sz w:val="22"/>
      <w:szCs w:val="20"/>
      <w:lang w:val="ru-RU" w:eastAsia="ru-RU" w:bidi="ar-SA"/>
    </w:rPr>
  </w:style>
  <w:style w:type="paragraph" w:styleId="ConsPlusCell" w:customStyle="1">
    <w:name w:val="ConsPlusCell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DocList" w:customStyle="1">
    <w:name w:val="ConsPlusDocList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TitlePage" w:customStyle="1">
    <w:name w:val="ConsPlusTitlePage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0"/>
      <w:szCs w:val="20"/>
      <w:lang w:val="ru-RU" w:eastAsia="ru-RU" w:bidi="ar-SA"/>
    </w:rPr>
  </w:style>
  <w:style w:type="paragraph" w:styleId="ConsPlusJurTerm" w:customStyle="1">
    <w:name w:val="ConsPlusJurTerm"/>
    <w:qFormat/>
    <w:rsid w:val="00db693e"/>
    <w:pPr>
      <w:widowControl w:val="false"/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6"/>
      <w:szCs w:val="20"/>
      <w:lang w:val="ru-RU" w:eastAsia="ru-RU" w:bidi="ar-S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691662"/>
    <w:pPr/>
    <w:rPr>
      <w:rFonts w:ascii="Tahoma" w:hAnsi="Tahoma" w:cs="Tahoma"/>
      <w:sz w:val="16"/>
      <w:szCs w:val="16"/>
    </w:rPr>
  </w:style>
  <w:style w:type="paragraph" w:styleId="1" w:customStyle="1">
    <w:name w:val="Обычная таблица1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  <w:style w:type="paragraph" w:styleId="Style23">
    <w:name w:val="Заголовок таблицы"/>
    <w:basedOn w:val="Style22"/>
    <w:qFormat/>
    <w:pPr>
      <w:suppressLineNumbers/>
      <w:jc w:val="center"/>
    </w:pPr>
    <w:rPr>
      <w:b/>
      <w:bCs/>
    </w:rPr>
  </w:style>
  <w:style w:type="paragraph" w:styleId="Style24">
    <w:name w:val="Колонтитул"/>
    <w:basedOn w:val="Normal"/>
    <w:qFormat/>
    <w:pPr>
      <w:suppressLineNumbers/>
      <w:tabs>
        <w:tab w:val="clear" w:pos="708"/>
        <w:tab w:val="center" w:pos="4677" w:leader="none"/>
        <w:tab w:val="right" w:pos="9354" w:leader="none"/>
      </w:tabs>
    </w:pPr>
    <w:rPr/>
  </w:style>
  <w:style w:type="paragraph" w:styleId="Style25">
    <w:name w:val="Footer"/>
    <w:basedOn w:val="Style24"/>
    <w:pPr>
      <w:suppressLineNumbers/>
    </w:pPr>
    <w:rPr/>
  </w:style>
  <w:style w:type="paragraph" w:styleId="NormalTable">
    <w:name w:val="Normal Table"/>
    <w:qFormat/>
    <w:pPr>
      <w:widowControl/>
      <w:suppressAutoHyphens w:val="true"/>
      <w:bidi w:val="0"/>
      <w:spacing w:lineRule="auto" w:line="276" w:before="0" w:after="200"/>
      <w:jc w:val="left"/>
      <w:textAlignment w:val="auto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ru-RU" w:bidi="ar-SA"/>
    </w:rPr>
  </w:style>
  <w:style w:type="paragraph" w:styleId="11">
    <w:name w:val="Заголовок1"/>
    <w:basedOn w:val="Normal"/>
    <w:next w:val="Style17"/>
    <w:qFormat/>
    <w:pPr>
      <w:keepNext w:val="true"/>
      <w:spacing w:before="240" w:after="120"/>
    </w:pPr>
    <w:rPr>
      <w:rFonts w:ascii="Liberation Sans;Arial" w:hAnsi="Liberation Sans;Arial" w:eastAsia="Microsoft YaHei" w:cs="Lucida Sans;Times New Roman"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8843</TotalTime>
  <Application>LibreOffice/7.4.2.3$Windows_X86_64 LibreOffice_project/382eef1f22670f7f4118c8c2dd222ec7ad009daf</Application>
  <AppVersion>15.0000</AppVersion>
  <Pages>2</Pages>
  <Words>295</Words>
  <Characters>2189</Characters>
  <CharactersWithSpaces>2627</CharactersWithSpaces>
  <Paragraphs>20</Paragraphs>
  <Company>КонсультантПлюс Версия 4025.00.02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2025-06-10T11:34:00Z</dcterms:created>
  <dc:creator>Петрова</dc:creator>
  <dc:description/>
  <dc:language>ru-RU</dc:language>
  <cp:lastModifiedBy/>
  <cp:lastPrinted>2025-06-04T17:04:05Z</cp:lastPrinted>
  <dcterms:modified xsi:type="dcterms:W3CDTF">2025-06-10T11:35:04Z</dcterms:modified>
  <cp:revision>394</cp:revision>
  <dc:subject/>
  <dc:title>Приказ Минфина Свердловской области от 02.12.2009 N 152(ред. от 07.11.2024)"О Порядке составления и ведения бюджетных росписей главных распорядителей средств областного бюджета (главных администраторов источников финансирования дефицита областного бюджета)"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